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eastAsia="en-US"/>
        </w:rPr>
      </w:pPr>
      <w:bookmarkStart w:id="0" w:name="OLE_LINK283"/>
      <w:r>
        <w:rPr>
          <w:rFonts w:ascii="Arial" w:hAnsi="Arial" w:cs="Arial"/>
          <w:b/>
          <w:bCs/>
          <w:sz w:val="24"/>
          <w:szCs w:val="24"/>
          <w:lang w:val="en-US" w:eastAsia="en-US"/>
        </w:rPr>
        <w:t>3GPP TSG-RAN WG3 Meeting #109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R3-204885</w:t>
      </w:r>
    </w:p>
    <w:bookmarkEnd w:id="0"/>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17</w:t>
      </w:r>
      <w:r>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 28</w:t>
      </w:r>
      <w:r>
        <w:rPr>
          <w:rFonts w:ascii="Arial" w:hAnsi="Arial" w:cs="Arial"/>
          <w:b/>
          <w:bCs/>
          <w:sz w:val="24"/>
          <w:szCs w:val="24"/>
          <w:vertAlign w:val="superscript"/>
          <w:lang w:val="en-US" w:eastAsia="en-US"/>
        </w:rPr>
        <w:t>th</w:t>
      </w:r>
      <w:r>
        <w:rPr>
          <w:rFonts w:ascii="Arial" w:hAnsi="Arial" w:cs="Arial"/>
          <w:b/>
          <w:bCs/>
          <w:sz w:val="24"/>
          <w:szCs w:val="24"/>
          <w:lang w:val="en-US" w:eastAsia="en-US"/>
        </w:rPr>
        <w:t> Aug</w:t>
      </w:r>
      <w:r>
        <w:rPr>
          <w:rFonts w:hint="eastAsia" w:ascii="Arial" w:hAnsi="Arial" w:cs="Arial"/>
          <w:b/>
          <w:bCs/>
          <w:sz w:val="24"/>
          <w:szCs w:val="24"/>
          <w:lang w:val="en-US" w:eastAsia="zh-CN"/>
        </w:rPr>
        <w:t>.</w:t>
      </w:r>
      <w:r>
        <w:rPr>
          <w:rFonts w:ascii="Arial" w:hAnsi="Arial" w:cs="Arial"/>
          <w:b/>
          <w:bCs/>
          <w:sz w:val="24"/>
          <w:szCs w:val="24"/>
          <w:lang w:val="en-US" w:eastAsia="en-US"/>
        </w:rPr>
        <w:t xml:space="preserve">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eastAsia="en-US"/>
        </w:rPr>
        <w:t>Over</w:t>
      </w:r>
      <w:r>
        <w:rPr>
          <w:rFonts w:ascii="Arial" w:hAnsi="Arial" w:cs="Arial"/>
          <w:b/>
          <w:bCs/>
          <w:sz w:val="24"/>
          <w:szCs w:val="24"/>
          <w:lang w:val="en-US" w:eastAsia="en-US"/>
        </w:rPr>
        <w:t>view of NR MBS</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22.2</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t>According to the WID [1] of the NR MBS, the MBS service of NR is to be provided to both the IDLE/INACTIVE UE and the CONNECTED UE via MN or SN. In this contribution we provide our understandings on how to provide the MBS service in RAN.</w:t>
      </w:r>
    </w:p>
    <w:p>
      <w:pPr>
        <w:pStyle w:val="2"/>
        <w:jc w:val="left"/>
      </w:pPr>
      <w:r>
        <w:rPr>
          <w:rFonts w:hint="eastAsia"/>
        </w:rPr>
        <w:t>Discussion</w:t>
      </w:r>
    </w:p>
    <w:p>
      <w:pPr>
        <w:pStyle w:val="3"/>
        <w:keepLines w:val="0"/>
        <w:tabs>
          <w:tab w:val="left" w:pos="576"/>
        </w:tabs>
        <w:spacing w:line="240" w:lineRule="auto"/>
        <w:ind w:left="0" w:firstLine="0"/>
        <w:jc w:val="left"/>
        <w:rPr>
          <w:b/>
        </w:rPr>
      </w:pPr>
      <w:r>
        <w:t>DC architectures</w:t>
      </w:r>
    </w:p>
    <w:p>
      <w:r>
        <w:t xml:space="preserve">According to the architecture description [1] quoted below, the NR MBS service is to be provided to the UE via the 5GC and the NR Uu interface. </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pPr>
        <w:keepNext/>
        <w:jc w:val="center"/>
      </w:pPr>
      <w:r>
        <w:object>
          <v:shape id="_x0000_i1025" o:spt="75" type="#_x0000_t75" style="height:170.5pt;width:176.8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14"/>
        <w:jc w:val="center"/>
      </w:pPr>
      <w:r>
        <w:t xml:space="preserve">Figure </w:t>
      </w:r>
      <w:r>
        <w:fldChar w:fldCharType="begin"/>
      </w:r>
      <w:r>
        <w:instrText xml:space="preserve"> SEQ Figure \* ARABIC </w:instrText>
      </w:r>
      <w:r>
        <w:fldChar w:fldCharType="separate"/>
      </w:r>
      <w:r>
        <w:t>1</w:t>
      </w:r>
      <w:r>
        <w:fldChar w:fldCharType="end"/>
      </w:r>
      <w:r>
        <w:t>: RAN node supporting MBS reception</w:t>
      </w:r>
    </w:p>
    <w:p>
      <w:r>
        <w:t>As the WID already stated that the MBS should be supported for NR DC, the MBS reception should be supported via either M-gNB (i.e. MN (Master Node)) or S-gNB (i.e. SN (Secondary Node)). If the MBS service is to be provided to the CONNECTED UE via either M-gNB or S-gNB, we should allow the UE to only receive the MBS service without the configuration of the unicast PDU session, as the UE which could be only interested in the MBS service may not have a unicast PDU session for the reception of the MBS service. On the other hand, if the UE’s unicast PDU session is via the M-gNB and the MBS PDU session is via the S-gNB, not moving the unicast PDU session to the S-gNB could also reduce the service interruption of the unicast service while receiving the MBS service.</w:t>
      </w:r>
    </w:p>
    <w:p>
      <w:pPr>
        <w:rPr>
          <w:b/>
        </w:rPr>
      </w:pPr>
      <w:r>
        <w:rPr>
          <w:b/>
        </w:rPr>
        <w:t>Proposal 1: The MBS service can be provided via either M-gNB or S-gNB without configuring the unicast PDU session of a unicast service via either M-gNB or S-gNB.</w:t>
      </w:r>
    </w:p>
    <w:p>
      <w:pPr>
        <w:pStyle w:val="3"/>
        <w:keepLines w:val="0"/>
        <w:tabs>
          <w:tab w:val="left" w:pos="576"/>
        </w:tabs>
        <w:spacing w:line="240" w:lineRule="auto"/>
        <w:ind w:left="0" w:firstLine="0"/>
        <w:jc w:val="left"/>
      </w:pPr>
      <w:r>
        <w:t>RAN security</w:t>
      </w:r>
    </w:p>
    <w:p>
      <w:r>
        <w:t>As the MBS configuration could be via to the CONNECTED UE via the dedicated RRC signalling, then the security key may be needed for the encryption of the RRC signalling provided via the Uu interface. However, when a UE is only to receive the MBS service (which is encrypted by the CN as LTE), the UE may not have an active PDU session of unicast. According to the current specification [2], if the UE does not have a unicast PDU session, the UE could be configured with a signalling-only connection (as quoted in the Annex A) which could be provided with the security context to encrypt the RRC signalling via the Uu interface. However it is also not clear whether the signalling-only connection (which is currently used for the NAS signalling transmission) can be used for the MBS configuration as the UE may not have any NAS signalling while receiving the MBS configuration of Uu.</w:t>
      </w:r>
    </w:p>
    <w:p>
      <w:pPr>
        <w:rPr>
          <w:b/>
        </w:rPr>
      </w:pPr>
      <w:r>
        <w:rPr>
          <w:b/>
        </w:rPr>
        <w:t xml:space="preserve">Observation 1: The user plane packets of MBS service are encrypted by the CN, without providing the security context to the RAN. </w:t>
      </w:r>
    </w:p>
    <w:p>
      <w:pPr>
        <w:rPr>
          <w:b/>
        </w:rPr>
      </w:pPr>
      <w:r>
        <w:rPr>
          <w:b/>
        </w:rPr>
        <w:t xml:space="preserve">Observation 2: It is not clear if the security context can be provided to the RAN without a unicast PDU session or without NAS signalling transmission. </w:t>
      </w:r>
    </w:p>
    <w:p>
      <w:pPr>
        <w:rPr>
          <w:b/>
        </w:rPr>
      </w:pPr>
      <w:r>
        <w:rPr>
          <w:b/>
        </w:rPr>
        <w:t>Proposal 2: RAN3 is kindly requested discuss whether the security context can be provided to a UE without a unicast bearer or a NAS signalling transmission.</w:t>
      </w:r>
    </w:p>
    <w:p>
      <w:pPr>
        <w:pStyle w:val="3"/>
        <w:keepLines w:val="0"/>
        <w:tabs>
          <w:tab w:val="left" w:pos="576"/>
        </w:tabs>
        <w:spacing w:line="240" w:lineRule="auto"/>
        <w:ind w:left="0" w:firstLine="0"/>
        <w:jc w:val="left"/>
      </w:pPr>
      <w:r>
        <w:t>RAN decision of PTP/PTM</w:t>
      </w:r>
    </w:p>
    <w:p>
      <w:r>
        <w:t>According to the TR 23.757 of the SA MBS SI, the MBS packets can be delivered to the RAN via either “5GC Individual MBS traffic delivery method” or “5GC Shared MBS traffic delivery method”.</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r>
              <w:t>The following texts are extracted from the TR 23.757:</w:t>
            </w:r>
          </w:p>
          <w:p>
            <w:r>
              <w:t xml:space="preserve">From the view point of 5G CN, two </w:t>
            </w:r>
            <w:r>
              <w:rPr>
                <w:b/>
                <w:bCs/>
              </w:rPr>
              <w:t>delivery methods</w:t>
            </w:r>
            <w:r>
              <w:t xml:space="preserve"> are possible:</w:t>
            </w:r>
          </w:p>
          <w:p>
            <w:pPr>
              <w:pStyle w:val="61"/>
              <w:rPr>
                <w:rFonts w:eastAsia="MS Mincho"/>
              </w:rPr>
            </w:pPr>
            <w:r>
              <w:t>-</w:t>
            </w:r>
            <w:r>
              <w:tab/>
            </w:r>
            <w:r>
              <w:t>5GC Individual MBS traffic delivery method:</w:t>
            </w:r>
            <w:r>
              <w:rPr>
                <w:rFonts w:eastAsia="MS Mincho"/>
              </w:rPr>
              <w:t xml:space="preserve"> 5G CN receives a single copy of MBS data packets and delivers separate copies of those MBS data packets to individual UEs via per-UE PDU sessions.</w:t>
            </w:r>
          </w:p>
          <w:p>
            <w:pPr>
              <w:pStyle w:val="88"/>
            </w:pPr>
            <w:r>
              <w:t>NOTE 1:</w:t>
            </w:r>
            <w:r>
              <w:tab/>
            </w:r>
            <w:r>
              <w:t>It will be determined based on the selected solutions whether the Individual delivery method is supported.</w:t>
            </w:r>
          </w:p>
          <w:p>
            <w:pPr>
              <w:pStyle w:val="61"/>
            </w:pPr>
            <w:r>
              <w:t>-</w:t>
            </w:r>
            <w:r>
              <w:tab/>
            </w:r>
            <w:r>
              <w:t>5GC Shared MBS traffic delivery method: 5G CN receives a single copy of MBS data packets and delivers a single copy of those MBS packets packet to a RAN node, which then delivers them to one or multiple UEs</w:t>
            </w:r>
          </w:p>
        </w:tc>
      </w:tr>
    </w:tbl>
    <w:p>
      <w:pPr>
        <w:keepNext/>
        <w:jc w:val="center"/>
      </w:pPr>
      <w:r>
        <w:object>
          <v:shape id="_x0000_i1026" o:spt="75" type="#_x0000_t75" style="height:292.05pt;width:464.2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14"/>
        <w:jc w:val="center"/>
      </w:pPr>
      <w:r>
        <w:t xml:space="preserve">Figure </w:t>
      </w:r>
      <w:r>
        <w:fldChar w:fldCharType="begin"/>
      </w:r>
      <w:r>
        <w:instrText xml:space="preserve"> SEQ Figure \* ARABIC </w:instrText>
      </w:r>
      <w:r>
        <w:fldChar w:fldCharType="separate"/>
      </w:r>
      <w:r>
        <w:t>2</w:t>
      </w:r>
      <w:r>
        <w:fldChar w:fldCharType="end"/>
      </w:r>
      <w:r>
        <w:t>: MBS delivery methods</w:t>
      </w:r>
    </w:p>
    <w:p>
      <w:r>
        <w:t>According to the Figure illustrated above, we could have following MBS delivery methods from the CN to the UE:</w:t>
      </w:r>
    </w:p>
    <w:p>
      <w:pPr>
        <w:pStyle w:val="71"/>
        <w:numPr>
          <w:ilvl w:val="0"/>
          <w:numId w:val="7"/>
        </w:numPr>
        <w:ind w:firstLineChars="0"/>
      </w:pPr>
      <w:r>
        <w:t>Method 1: The CN-to-gNB is via PTM (i.e. “5GC Shared MBS traffic delivery method”), and the gNB-to-UE is via PTP.</w:t>
      </w:r>
    </w:p>
    <w:p>
      <w:pPr>
        <w:pStyle w:val="71"/>
        <w:numPr>
          <w:ilvl w:val="0"/>
          <w:numId w:val="7"/>
        </w:numPr>
        <w:ind w:firstLineChars="0"/>
      </w:pPr>
      <w:r>
        <w:t>Method 2: The CN-to-gNB is via PTM (i.e. “5GC Shared MBS traffic delivery method”), and the gNB-to-UE is via PTM.</w:t>
      </w:r>
    </w:p>
    <w:p>
      <w:pPr>
        <w:pStyle w:val="71"/>
        <w:numPr>
          <w:ilvl w:val="0"/>
          <w:numId w:val="7"/>
        </w:numPr>
        <w:ind w:firstLineChars="0"/>
      </w:pPr>
      <w:r>
        <w:t>Method 3: The CN-to-gNB is via PTP (i.e. “5GC Individual MBS traffic delivery method”), and the gNB-to-UE is via PTP.</w:t>
      </w:r>
    </w:p>
    <w:p>
      <w:pPr>
        <w:pStyle w:val="71"/>
        <w:numPr>
          <w:ilvl w:val="0"/>
          <w:numId w:val="7"/>
        </w:numPr>
        <w:ind w:firstLineChars="0"/>
      </w:pPr>
      <w:r>
        <w:t>Method 4: The CN-to-gNB is via PTP (i.e. “5GC Individual MBS traffic delivery method”), and the gNB-to-UE is via PTM.</w:t>
      </w:r>
    </w:p>
    <w:p>
      <w:r>
        <w:t>From our understanding, no extra standard effort is required for supporting Method 3. However some specification works are needed for supporting Method 1/2/4. For example, for Method 4, the CN could have several PDU sessions providing the same MBS service to different UEs. Then RAN can decide to deliver only one copy of the MBS packets to multiple UEs via PTM. RAN should firstly decide which MBS delivery method is to be used in this Release.</w:t>
      </w:r>
    </w:p>
    <w:p>
      <w:pPr>
        <w:rPr>
          <w:b/>
        </w:rPr>
      </w:pPr>
      <w:r>
        <w:rPr>
          <w:b/>
        </w:rPr>
        <w:t>Proposal 3: RAN3 is kindly requested discuss which of the following MBS delivery methods are supported:</w:t>
      </w:r>
    </w:p>
    <w:p>
      <w:pPr>
        <w:pStyle w:val="71"/>
        <w:numPr>
          <w:ilvl w:val="0"/>
          <w:numId w:val="7"/>
        </w:numPr>
        <w:ind w:firstLineChars="0"/>
        <w:rPr>
          <w:b/>
        </w:rPr>
      </w:pPr>
      <w:r>
        <w:rPr>
          <w:b/>
        </w:rPr>
        <w:t>Method 1: The CN-to-gNB is via PTM, and the gNB-to-UE is via PTP.</w:t>
      </w:r>
    </w:p>
    <w:p>
      <w:pPr>
        <w:pStyle w:val="71"/>
        <w:numPr>
          <w:ilvl w:val="0"/>
          <w:numId w:val="7"/>
        </w:numPr>
        <w:ind w:firstLineChars="0"/>
        <w:rPr>
          <w:b/>
        </w:rPr>
      </w:pPr>
      <w:r>
        <w:rPr>
          <w:b/>
        </w:rPr>
        <w:t>Method 2: The CN-to-gNB is via PTM, and the gNB-to-UE is via PTM.</w:t>
      </w:r>
    </w:p>
    <w:p>
      <w:pPr>
        <w:pStyle w:val="71"/>
        <w:numPr>
          <w:ilvl w:val="0"/>
          <w:numId w:val="7"/>
        </w:numPr>
        <w:ind w:firstLineChars="0"/>
        <w:rPr>
          <w:b/>
        </w:rPr>
      </w:pPr>
      <w:r>
        <w:rPr>
          <w:b/>
        </w:rPr>
        <w:t>Method 3: The CN-to-gNB is via PTP, and the gNB-to-UE is via PTP.</w:t>
      </w:r>
    </w:p>
    <w:p>
      <w:pPr>
        <w:pStyle w:val="71"/>
        <w:numPr>
          <w:ilvl w:val="0"/>
          <w:numId w:val="7"/>
        </w:numPr>
        <w:ind w:firstLineChars="0"/>
        <w:rPr>
          <w:lang w:eastAsia="ko-KR"/>
        </w:rPr>
      </w:pPr>
      <w:r>
        <w:rPr>
          <w:b/>
        </w:rPr>
        <w:t>Method 4: The CN-to-gNB is via PTP, and the gNB-to-UE is via PTM.</w:t>
      </w:r>
      <w:bookmarkStart w:id="28" w:name="_GoBack"/>
      <w:bookmarkEnd w:id="28"/>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w:t>
      </w:r>
    </w:p>
    <w:p>
      <w:pPr>
        <w:rPr>
          <w:b/>
        </w:rPr>
      </w:pPr>
      <w:r>
        <w:rPr>
          <w:b/>
        </w:rPr>
        <w:t xml:space="preserve">Observation 1: The user plane packets of MBS service are encrypted by the CN, without providing the security context to the RAN. </w:t>
      </w:r>
    </w:p>
    <w:p>
      <w:pPr>
        <w:rPr>
          <w:b/>
        </w:rPr>
      </w:pPr>
      <w:r>
        <w:rPr>
          <w:b/>
        </w:rPr>
        <w:t xml:space="preserve">Observation 2: It is not clear if the security context can be provided to the RAN without a unicast PDU session or without NAS signalling transmission. </w:t>
      </w:r>
    </w:p>
    <w:p>
      <w:pPr>
        <w:rPr>
          <w:b/>
        </w:rPr>
      </w:pPr>
      <w:r>
        <w:rPr>
          <w:b/>
          <w:lang w:eastAsia="ko-KR"/>
        </w:rPr>
        <w:t xml:space="preserve">Observation 3: If the MBS configuration is provided via broadcast signalling, the gNB is not able to know </w:t>
      </w:r>
      <w:r>
        <w:rPr>
          <w:b/>
        </w:rPr>
        <w:t>which/how many UE(s) are receiving (or interested to receive) a specific MBS service.</w:t>
      </w:r>
    </w:p>
    <w:p>
      <w:pPr>
        <w:rPr>
          <w:b/>
          <w:lang w:eastAsia="ko-KR"/>
        </w:rPr>
      </w:pPr>
      <w:r>
        <w:rPr>
          <w:b/>
        </w:rPr>
        <w:t>Observation 4: For the case that the MBS configuration is provided via the dedicated RRC, the UE may change its interest of MBS reception at any point of time</w:t>
      </w:r>
      <w:r>
        <w:rPr>
          <w:rFonts w:hint="eastAsia"/>
          <w:b/>
        </w:rPr>
        <w:t>.</w:t>
      </w:r>
    </w:p>
    <w:p>
      <w:pPr>
        <w:rPr>
          <w:b/>
        </w:rPr>
      </w:pPr>
      <w:r>
        <w:rPr>
          <w:b/>
        </w:rPr>
        <w:t>Proposal 1: The MBS service can be provided via either M-gNB or S-gNB without configuring the unicast PDU session of a unicast service via either M-gNB or S-gNB.</w:t>
      </w:r>
    </w:p>
    <w:p>
      <w:pPr>
        <w:rPr>
          <w:b/>
        </w:rPr>
      </w:pPr>
      <w:r>
        <w:rPr>
          <w:b/>
        </w:rPr>
        <w:t>Proposal 2: RAN3 is kindly requested discuss whether the security context can be provided to a UE without a unicast bearer or a NAS signalling transmission.</w:t>
      </w:r>
    </w:p>
    <w:p>
      <w:pPr>
        <w:rPr>
          <w:b/>
        </w:rPr>
      </w:pPr>
      <w:r>
        <w:rPr>
          <w:b/>
        </w:rPr>
        <w:t>Proposal 3: RAN3 is kindly requested discuss which of the following MBS delivery methods are supported:</w:t>
      </w:r>
    </w:p>
    <w:p>
      <w:pPr>
        <w:pStyle w:val="71"/>
        <w:numPr>
          <w:ilvl w:val="0"/>
          <w:numId w:val="7"/>
        </w:numPr>
        <w:ind w:firstLineChars="0"/>
        <w:rPr>
          <w:b/>
        </w:rPr>
      </w:pPr>
      <w:r>
        <w:rPr>
          <w:b/>
        </w:rPr>
        <w:t>Method 1: The CN-to-gNB is via PTM, and the gNB-to-UE is via PTP.</w:t>
      </w:r>
    </w:p>
    <w:p>
      <w:pPr>
        <w:pStyle w:val="71"/>
        <w:numPr>
          <w:ilvl w:val="0"/>
          <w:numId w:val="7"/>
        </w:numPr>
        <w:ind w:firstLineChars="0"/>
        <w:rPr>
          <w:b/>
        </w:rPr>
      </w:pPr>
      <w:r>
        <w:rPr>
          <w:b/>
        </w:rPr>
        <w:t>Method 2: The CN-to-gNB is via PTM, and the gNB-to-UE is via PTM.</w:t>
      </w:r>
    </w:p>
    <w:p>
      <w:pPr>
        <w:pStyle w:val="71"/>
        <w:numPr>
          <w:ilvl w:val="0"/>
          <w:numId w:val="7"/>
        </w:numPr>
        <w:ind w:firstLineChars="0"/>
        <w:rPr>
          <w:b/>
        </w:rPr>
      </w:pPr>
      <w:r>
        <w:rPr>
          <w:b/>
        </w:rPr>
        <w:t>Method 3: The CN-to-gNB is via PTP, and the gNB-to-UE is via PTP.</w:t>
      </w:r>
    </w:p>
    <w:p>
      <w:pPr>
        <w:pStyle w:val="71"/>
        <w:numPr>
          <w:ilvl w:val="0"/>
          <w:numId w:val="7"/>
        </w:numPr>
        <w:ind w:firstLineChars="0"/>
        <w:rPr>
          <w:b/>
        </w:rPr>
      </w:pPr>
      <w:r>
        <w:rPr>
          <w:b/>
        </w:rPr>
        <w:t>Method 4: The CN-to-gNB is via PTP, and the gNB-to-UE is via PTM.</w:t>
      </w:r>
    </w:p>
    <w:p>
      <w:pPr>
        <w:spacing w:afterLines="50" w:line="240" w:lineRule="auto"/>
        <w:jc w:val="left"/>
      </w:pPr>
    </w:p>
    <w:p>
      <w:pPr>
        <w:pStyle w:val="2"/>
        <w:spacing w:before="180" w:line="240" w:lineRule="auto"/>
        <w:ind w:left="0" w:firstLine="0"/>
        <w:jc w:val="left"/>
      </w:pPr>
      <w:bookmarkStart w:id="2" w:name="_Toc502437832"/>
      <w:r>
        <w:t>Reference</w:t>
      </w:r>
    </w:p>
    <w:bookmarkEnd w:id="2"/>
    <w:p>
      <w:pPr>
        <w:spacing w:afterLines="50" w:line="240" w:lineRule="auto"/>
        <w:jc w:val="left"/>
      </w:pPr>
      <w:r>
        <w:t>[1] RP-201038, Huawei, “WID revision: NR Multicast and Broadcast Services”.</w:t>
      </w:r>
    </w:p>
    <w:p>
      <w:pPr>
        <w:spacing w:afterLines="50" w:line="240" w:lineRule="auto"/>
        <w:jc w:val="left"/>
      </w:pPr>
      <w:r>
        <w:t>[2] 3GPP TS 38.413, “NG-RAN; NG Application Protocol (NGAP)”.</w:t>
      </w:r>
    </w:p>
    <w:p>
      <w:pPr>
        <w:spacing w:afterLines="50" w:line="240" w:lineRule="auto"/>
        <w:jc w:val="left"/>
      </w:pPr>
      <w:r>
        <w:t>[3] 3GPP TR 23.757, “Study on architectural enhancements for 5G multicast-broadcast services”.</w:t>
      </w:r>
    </w:p>
    <w:p>
      <w:pPr>
        <w:spacing w:afterLines="50" w:line="240" w:lineRule="auto"/>
        <w:jc w:val="left"/>
      </w:pPr>
    </w:p>
    <w:p>
      <w:pPr>
        <w:pStyle w:val="2"/>
        <w:spacing w:before="180" w:line="240" w:lineRule="auto"/>
        <w:ind w:left="0" w:firstLine="0"/>
        <w:jc w:val="left"/>
      </w:pPr>
      <w:r>
        <w:t>Annex A</w:t>
      </w:r>
    </w:p>
    <w:p>
      <w:pPr>
        <w:spacing w:afterLines="50" w:line="240" w:lineRule="auto"/>
        <w:jc w:val="left"/>
      </w:pPr>
      <w:r>
        <w:t>The following texts are extracted from the 3GPP TS 38.413 [2]:</w:t>
      </w:r>
    </w:p>
    <w:tbl>
      <w:tblPr>
        <w:tblStyle w:val="27"/>
        <w:tblW w:w="1125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55" w:type="dxa"/>
          </w:tcPr>
          <w:p>
            <w:pPr>
              <w:pStyle w:val="4"/>
              <w:numPr>
                <w:ilvl w:val="0"/>
                <w:numId w:val="0"/>
              </w:numPr>
              <w:ind w:left="720" w:hanging="720"/>
            </w:pPr>
            <w:bookmarkStart w:id="3" w:name="_Toc20954852"/>
            <w:bookmarkStart w:id="4" w:name="_Toc29504457"/>
            <w:bookmarkStart w:id="5" w:name="_Toc29503289"/>
            <w:bookmarkStart w:id="6" w:name="_Toc29503873"/>
            <w:bookmarkStart w:id="7" w:name="_Toc36552903"/>
            <w:bookmarkStart w:id="8" w:name="_Toc36554630"/>
            <w:r>
              <w:t>8.3.1</w:t>
            </w:r>
            <w:r>
              <w:tab/>
            </w:r>
            <w:r>
              <w:t>Initial Context Setup</w:t>
            </w:r>
            <w:bookmarkEnd w:id="3"/>
            <w:bookmarkEnd w:id="4"/>
            <w:bookmarkEnd w:id="5"/>
            <w:bookmarkEnd w:id="6"/>
            <w:bookmarkEnd w:id="7"/>
            <w:bookmarkEnd w:id="8"/>
          </w:p>
          <w:p>
            <w:pPr>
              <w:pStyle w:val="5"/>
              <w:numPr>
                <w:ilvl w:val="0"/>
                <w:numId w:val="0"/>
              </w:numPr>
              <w:ind w:left="864" w:hanging="864"/>
            </w:pPr>
            <w:bookmarkStart w:id="9" w:name="_Toc20954853"/>
            <w:bookmarkStart w:id="10" w:name="_Toc29503290"/>
            <w:bookmarkStart w:id="11" w:name="_Toc29503874"/>
            <w:bookmarkStart w:id="12" w:name="_Toc29504458"/>
            <w:bookmarkStart w:id="13" w:name="_Toc36552904"/>
            <w:bookmarkStart w:id="14" w:name="_Toc36554631"/>
            <w:r>
              <w:t>8.3.1.1</w:t>
            </w:r>
            <w:r>
              <w:tab/>
            </w:r>
            <w:r>
              <w:t>General</w:t>
            </w:r>
            <w:bookmarkEnd w:id="9"/>
            <w:bookmarkEnd w:id="10"/>
            <w:bookmarkEnd w:id="11"/>
            <w:bookmarkEnd w:id="12"/>
            <w:bookmarkEnd w:id="13"/>
            <w:bookmarkEnd w:id="14"/>
          </w:p>
          <w:p>
            <w:r>
              <w:t xml:space="preserve">The purpose of the Initial Context Setup procedure is to establish the necessary overall initial UE context at the NG-RAN node, when required, including PDU session context, the Security Key, Mobility Restriction List, UE Radio Capability and UE Security Capabilities, etc.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The procedure uses UE-associated signalling.</w:t>
            </w:r>
          </w:p>
          <w:p>
            <w:r>
              <w:rPr>
                <w:highlight w:val="yellow"/>
              </w:rPr>
              <w:t xml:space="preserve">For signalling only connections and if the </w:t>
            </w:r>
            <w:r>
              <w:rPr>
                <w:i/>
                <w:highlight w:val="yellow"/>
              </w:rPr>
              <w:t>UE Context Request</w:t>
            </w:r>
            <w:r>
              <w:rPr>
                <w:highlight w:val="yellow"/>
              </w:rPr>
              <w:t xml:space="preserve"> IE is not received in the Initial UE Message, the AMF may be configured to trigger the procedure for all NAS procedures or on a per NAS procedure basis depending on operator’s configuration.</w:t>
            </w:r>
          </w:p>
          <w:p>
            <w:pPr>
              <w:pStyle w:val="5"/>
              <w:numPr>
                <w:ilvl w:val="0"/>
                <w:numId w:val="0"/>
              </w:numPr>
              <w:ind w:left="864" w:hanging="864"/>
            </w:pPr>
            <w:bookmarkStart w:id="15" w:name="_Toc20954854"/>
            <w:bookmarkStart w:id="16" w:name="_Toc29503291"/>
            <w:bookmarkStart w:id="17" w:name="_Toc29503875"/>
            <w:bookmarkStart w:id="18" w:name="_Toc29504459"/>
            <w:bookmarkStart w:id="19" w:name="_Toc36552905"/>
            <w:bookmarkStart w:id="20" w:name="_Toc36554632"/>
            <w:r>
              <w:t>8.3.1.2</w:t>
            </w:r>
            <w:r>
              <w:tab/>
            </w:r>
            <w:r>
              <w:t>Successful Operation</w:t>
            </w:r>
            <w:bookmarkEnd w:id="15"/>
            <w:bookmarkEnd w:id="16"/>
            <w:bookmarkEnd w:id="17"/>
            <w:bookmarkEnd w:id="18"/>
            <w:bookmarkEnd w:id="19"/>
            <w:bookmarkEnd w:id="20"/>
          </w:p>
          <w:p>
            <w:pPr>
              <w:pStyle w:val="80"/>
            </w:pPr>
            <w:r>
              <w:object>
                <v:shape id="_x0000_i1027" o:spt="75" type="#_x0000_t75" style="height:120.95pt;width:34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81"/>
            </w:pPr>
            <w:r>
              <w:t xml:space="preserve">Figure 8.3.1.2-1: Initial context setup: successful </w:t>
            </w:r>
            <w:r>
              <w:rPr>
                <w:rFonts w:eastAsia="MS Mincho"/>
              </w:rPr>
              <w:t>o</w:t>
            </w:r>
            <w:r>
              <w:t>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55" w:type="dxa"/>
          </w:tcPr>
          <w:p>
            <w:pPr>
              <w:pStyle w:val="5"/>
              <w:numPr>
                <w:ilvl w:val="0"/>
                <w:numId w:val="0"/>
              </w:numPr>
              <w:ind w:left="864" w:hanging="864"/>
              <w:rPr>
                <w:lang w:eastAsia="zh-CN"/>
              </w:rPr>
            </w:pPr>
            <w:bookmarkStart w:id="21" w:name="_Ref469454216"/>
            <w:bookmarkStart w:id="22" w:name="_Toc20955082"/>
            <w:bookmarkStart w:id="23" w:name="_Toc29503528"/>
            <w:bookmarkStart w:id="24" w:name="_Toc29504112"/>
            <w:bookmarkStart w:id="25" w:name="_Toc29504696"/>
            <w:bookmarkStart w:id="26" w:name="_Toc36553142"/>
            <w:bookmarkStart w:id="27" w:name="_Toc36554869"/>
            <w:r>
              <w:t>9.</w:t>
            </w:r>
            <w:r>
              <w:rPr>
                <w:lang w:eastAsia="zh-CN"/>
              </w:rPr>
              <w:t>2.2.1</w:t>
            </w:r>
            <w:r>
              <w:tab/>
            </w:r>
            <w:bookmarkEnd w:id="21"/>
            <w:r>
              <w:rPr>
                <w:lang w:eastAsia="zh-CN"/>
              </w:rPr>
              <w:t>INITIAL CONTEXT SETUP REQUEST</w:t>
            </w:r>
            <w:bookmarkEnd w:id="22"/>
            <w:bookmarkEnd w:id="23"/>
            <w:bookmarkEnd w:id="24"/>
            <w:bookmarkEnd w:id="25"/>
            <w:bookmarkEnd w:id="26"/>
            <w:bookmarkEnd w:id="27"/>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26"/>
              <w:tblW w:w="109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2728"/>
              <w:gridCol w:w="2428"/>
              <w:gridCol w:w="1027"/>
              <w:gridCol w:w="1187"/>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85"/>
                    <w:rPr>
                      <w:rFonts w:cs="Arial"/>
                      <w:lang w:eastAsia="ja-JP"/>
                    </w:rPr>
                  </w:pPr>
                  <w:r>
                    <w:rPr>
                      <w:rFonts w:cs="Arial"/>
                      <w:lang w:eastAsia="ja-JP"/>
                    </w:rPr>
                    <w:t>IE/Group Name</w:t>
                  </w:r>
                </w:p>
              </w:tc>
              <w:tc>
                <w:tcPr>
                  <w:tcW w:w="2728" w:type="dxa"/>
                </w:tcPr>
                <w:p>
                  <w:pPr>
                    <w:pStyle w:val="85"/>
                    <w:rPr>
                      <w:rFonts w:cs="Arial"/>
                      <w:lang w:eastAsia="ja-JP"/>
                    </w:rPr>
                  </w:pPr>
                  <w:r>
                    <w:rPr>
                      <w:rFonts w:cs="Arial"/>
                      <w:lang w:eastAsia="ja-JP"/>
                    </w:rPr>
                    <w:t>Presence</w:t>
                  </w:r>
                </w:p>
              </w:tc>
              <w:tc>
                <w:tcPr>
                  <w:tcW w:w="2428" w:type="dxa"/>
                </w:tcPr>
                <w:p>
                  <w:pPr>
                    <w:pStyle w:val="85"/>
                    <w:rPr>
                      <w:rFonts w:cs="Arial"/>
                      <w:lang w:eastAsia="ja-JP"/>
                    </w:rPr>
                  </w:pPr>
                  <w:r>
                    <w:rPr>
                      <w:rFonts w:cs="Arial"/>
                      <w:lang w:eastAsia="ja-JP"/>
                    </w:rPr>
                    <w:t>Range</w:t>
                  </w:r>
                </w:p>
              </w:tc>
              <w:tc>
                <w:tcPr>
                  <w:tcW w:w="1027" w:type="dxa"/>
                </w:tcPr>
                <w:p>
                  <w:pPr>
                    <w:pStyle w:val="85"/>
                    <w:rPr>
                      <w:rFonts w:cs="Arial"/>
                      <w:lang w:eastAsia="ja-JP"/>
                    </w:rPr>
                  </w:pPr>
                  <w:r>
                    <w:rPr>
                      <w:rFonts w:cs="Arial"/>
                      <w:lang w:eastAsia="ja-JP"/>
                    </w:rPr>
                    <w:t>IE type and reference</w:t>
                  </w:r>
                </w:p>
              </w:tc>
              <w:tc>
                <w:tcPr>
                  <w:tcW w:w="1187" w:type="dxa"/>
                </w:tcPr>
                <w:p>
                  <w:pPr>
                    <w:pStyle w:val="85"/>
                    <w:rPr>
                      <w:rFonts w:cs="Arial"/>
                      <w:lang w:eastAsia="ja-JP"/>
                    </w:rPr>
                  </w:pPr>
                  <w:r>
                    <w:rPr>
                      <w:rFonts w:cs="Arial"/>
                      <w:lang w:eastAsia="ja-JP"/>
                    </w:rPr>
                    <w:t>Semantics description</w:t>
                  </w:r>
                </w:p>
              </w:tc>
              <w:tc>
                <w:tcPr>
                  <w:tcW w:w="1037" w:type="dxa"/>
                </w:tcPr>
                <w:p>
                  <w:pPr>
                    <w:pStyle w:val="85"/>
                    <w:rPr>
                      <w:rFonts w:cs="Arial"/>
                      <w:lang w:eastAsia="ja-JP"/>
                    </w:rPr>
                  </w:pPr>
                  <w:r>
                    <w:rPr>
                      <w:rFonts w:cs="Arial"/>
                      <w:lang w:eastAsia="ja-JP"/>
                    </w:rPr>
                    <w:t>Criticality</w:t>
                  </w:r>
                </w:p>
              </w:tc>
              <w:tc>
                <w:tcPr>
                  <w:tcW w:w="1037" w:type="dxa"/>
                </w:tcPr>
                <w:p>
                  <w:pPr>
                    <w:pStyle w:val="85"/>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lang w:eastAsia="ja-JP"/>
                    </w:rPr>
                    <w:t>Message Type</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9.3.1.1</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bCs/>
                      <w:lang w:eastAsia="ja-JP"/>
                    </w:rPr>
                    <w:t>AMF</w:t>
                  </w:r>
                  <w:r>
                    <w:rPr>
                      <w:rFonts w:cs="Arial"/>
                      <w:bCs/>
                      <w:lang w:eastAsia="ja-JP"/>
                    </w:rPr>
                    <w:t xml:space="preserve"> UE NGAP ID</w:t>
                  </w:r>
                </w:p>
              </w:tc>
              <w:tc>
                <w:tcPr>
                  <w:tcW w:w="2728" w:type="dxa"/>
                </w:tcPr>
                <w:p>
                  <w:pPr>
                    <w:pStyle w:val="51"/>
                    <w:ind w:firstLine="440"/>
                    <w:rPr>
                      <w:rFonts w:cs="Arial"/>
                      <w:lang w:eastAsia="ja-JP"/>
                    </w:rPr>
                  </w:pPr>
                  <w:r>
                    <w:rPr>
                      <w:rFonts w:cs="Arial"/>
                      <w:lang w:eastAsia="zh-CN"/>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9.3.3.1</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bCs/>
                      <w:lang w:eastAsia="ja-JP"/>
                    </w:rPr>
                    <w:t>RAN</w:t>
                  </w:r>
                  <w:r>
                    <w:rPr>
                      <w:rFonts w:cs="Arial"/>
                      <w:bCs/>
                      <w:lang w:eastAsia="ja-JP"/>
                    </w:rPr>
                    <w:t xml:space="preserve"> UE NGAP ID</w:t>
                  </w:r>
                </w:p>
              </w:tc>
              <w:tc>
                <w:tcPr>
                  <w:tcW w:w="2728" w:type="dxa"/>
                </w:tcPr>
                <w:p>
                  <w:pPr>
                    <w:pStyle w:val="51"/>
                    <w:ind w:firstLine="440"/>
                    <w:rPr>
                      <w:rFonts w:cs="Arial"/>
                      <w:lang w:eastAsia="ja-JP"/>
                    </w:rPr>
                  </w:pPr>
                  <w:r>
                    <w:rPr>
                      <w:rFonts w:cs="Arial"/>
                      <w:lang w:eastAsia="zh-CN"/>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9.3.3.2</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bCs/>
                      <w:lang w:eastAsia="ja-JP"/>
                    </w:rPr>
                  </w:pPr>
                  <w:r>
                    <w:rPr>
                      <w:rFonts w:eastAsia="Batang" w:cs="Arial"/>
                      <w:bCs/>
                      <w:lang w:eastAsia="ja-JP"/>
                    </w:rPr>
                    <w:t>Old AMF</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lang w:eastAsia="ja-JP"/>
                    </w:rPr>
                  </w:pPr>
                </w:p>
              </w:tc>
              <w:tc>
                <w:tcPr>
                  <w:tcW w:w="1027" w:type="dxa"/>
                </w:tcPr>
                <w:p>
                  <w:pPr>
                    <w:pStyle w:val="51"/>
                    <w:ind w:firstLine="440"/>
                    <w:rPr>
                      <w:lang w:eastAsia="ja-JP"/>
                    </w:rPr>
                  </w:pPr>
                  <w:r>
                    <w:rPr>
                      <w:lang w:eastAsia="ja-JP"/>
                    </w:rPr>
                    <w:t>AMF Name</w:t>
                  </w:r>
                </w:p>
                <w:p>
                  <w:pPr>
                    <w:pStyle w:val="51"/>
                    <w:ind w:firstLine="440"/>
                    <w:rPr>
                      <w:lang w:eastAsia="ja-JP"/>
                    </w:rPr>
                  </w:pPr>
                  <w:r>
                    <w:rPr>
                      <w:lang w:eastAsia="ja-JP"/>
                    </w:rPr>
                    <w:t>9.3.3.21</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lang w:eastAsia="ja-JP"/>
                    </w:rPr>
                    <w:t>UE Aggregate Maximum Bit Rate</w:t>
                  </w:r>
                </w:p>
              </w:tc>
              <w:tc>
                <w:tcPr>
                  <w:tcW w:w="2728" w:type="dxa"/>
                </w:tcPr>
                <w:p>
                  <w:pPr>
                    <w:pStyle w:val="51"/>
                    <w:ind w:firstLine="440"/>
                    <w:rPr>
                      <w:rFonts w:cs="Arial"/>
                      <w:lang w:eastAsia="ja-JP"/>
                    </w:rPr>
                  </w:pPr>
                  <w:r>
                    <w:rPr>
                      <w:rFonts w:cs="Arial"/>
                      <w:lang w:eastAsia="zh-CN"/>
                    </w:rPr>
                    <w:t>C-ifPDUsessionResourceSetup</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9.3.1.58</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lang w:eastAsia="ja-JP"/>
                    </w:rPr>
                    <w:t>Core Network Assistance Information for RRC INACTIVE</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lang w:eastAsia="ja-JP"/>
                    </w:rPr>
                  </w:pPr>
                </w:p>
              </w:tc>
              <w:tc>
                <w:tcPr>
                  <w:tcW w:w="1027" w:type="dxa"/>
                </w:tcPr>
                <w:p>
                  <w:pPr>
                    <w:pStyle w:val="51"/>
                    <w:ind w:firstLine="440"/>
                    <w:rPr>
                      <w:lang w:eastAsia="ja-JP"/>
                    </w:rPr>
                  </w:pPr>
                  <w:r>
                    <w:rPr>
                      <w:lang w:eastAsia="ja-JP"/>
                    </w:rPr>
                    <w:t>9.3.1.</w:t>
                  </w:r>
                  <w:r>
                    <w:rPr>
                      <w:rFonts w:eastAsia="宋体"/>
                      <w:lang w:eastAsia="zh-CN"/>
                    </w:rPr>
                    <w:t>15</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lang w:eastAsia="ja-JP"/>
                    </w:rPr>
                  </w:pPr>
                  <w:r>
                    <w:rPr>
                      <w:rFonts w:eastAsia="Batang" w:cs="Arial"/>
                      <w:lang w:eastAsia="ja-JP"/>
                    </w:rPr>
                    <w:t>GUAMI</w:t>
                  </w:r>
                </w:p>
              </w:tc>
              <w:tc>
                <w:tcPr>
                  <w:tcW w:w="2728" w:type="dxa"/>
                </w:tcPr>
                <w:p>
                  <w:pPr>
                    <w:pStyle w:val="51"/>
                    <w:ind w:firstLine="440"/>
                    <w:rPr>
                      <w:rFonts w:cs="Arial"/>
                      <w:lang w:eastAsia="zh-CN"/>
                    </w:rPr>
                  </w:pPr>
                  <w:r>
                    <w:rPr>
                      <w:rFonts w:cs="Arial"/>
                      <w:lang w:eastAsia="zh-CN"/>
                    </w:rPr>
                    <w:t>M</w:t>
                  </w:r>
                </w:p>
              </w:tc>
              <w:tc>
                <w:tcPr>
                  <w:tcW w:w="2428" w:type="dxa"/>
                </w:tcPr>
                <w:p>
                  <w:pPr>
                    <w:pStyle w:val="51"/>
                    <w:ind w:firstLine="440"/>
                    <w:rPr>
                      <w:rFonts w:cs="Arial"/>
                      <w:lang w:eastAsia="ja-JP"/>
                    </w:rPr>
                  </w:pPr>
                </w:p>
              </w:tc>
              <w:tc>
                <w:tcPr>
                  <w:tcW w:w="1027" w:type="dxa"/>
                </w:tcPr>
                <w:p>
                  <w:pPr>
                    <w:pStyle w:val="51"/>
                    <w:ind w:firstLine="440"/>
                    <w:rPr>
                      <w:lang w:eastAsia="ja-JP"/>
                    </w:rPr>
                  </w:pPr>
                  <w:r>
                    <w:rPr>
                      <w:lang w:eastAsia="ja-JP"/>
                    </w:rPr>
                    <w:t>9.3.3.3</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2"/>
                    <w:rPr>
                      <w:rFonts w:cs="Arial"/>
                      <w:b/>
                      <w:lang w:eastAsia="ja-JP"/>
                    </w:rPr>
                  </w:pPr>
                  <w:r>
                    <w:rPr>
                      <w:rFonts w:cs="Arial"/>
                      <w:b/>
                      <w:bCs/>
                      <w:iCs/>
                      <w:lang w:eastAsia="ja-JP"/>
                    </w:rPr>
                    <w:t>PDU Session Resource Setup Request List</w:t>
                  </w:r>
                </w:p>
              </w:tc>
              <w:tc>
                <w:tcPr>
                  <w:tcW w:w="2728" w:type="dxa"/>
                </w:tcPr>
                <w:p>
                  <w:pPr>
                    <w:pStyle w:val="51"/>
                    <w:ind w:firstLine="440"/>
                    <w:rPr>
                      <w:rFonts w:cs="Arial"/>
                      <w:lang w:eastAsia="ja-JP"/>
                    </w:rPr>
                  </w:pPr>
                </w:p>
              </w:tc>
              <w:tc>
                <w:tcPr>
                  <w:tcW w:w="2428" w:type="dxa"/>
                </w:tcPr>
                <w:p>
                  <w:pPr>
                    <w:pStyle w:val="51"/>
                    <w:ind w:firstLine="440"/>
                    <w:rPr>
                      <w:rFonts w:cs="Arial"/>
                      <w:lang w:eastAsia="ja-JP"/>
                    </w:rPr>
                  </w:pPr>
                  <w:r>
                    <w:rPr>
                      <w:rFonts w:cs="Arial"/>
                      <w:i/>
                      <w:lang w:eastAsia="ja-JP"/>
                    </w:rPr>
                    <w:t>0..1</w:t>
                  </w:r>
                </w:p>
              </w:tc>
              <w:tc>
                <w:tcPr>
                  <w:tcW w:w="1027" w:type="dxa"/>
                </w:tcPr>
                <w:p>
                  <w:pPr>
                    <w:pStyle w:val="51"/>
                    <w:ind w:firstLine="440"/>
                    <w:rPr>
                      <w:rFonts w:cs="Arial"/>
                      <w:lang w:eastAsia="ja-JP"/>
                    </w:rPr>
                  </w:pP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73" w:firstLine="442"/>
                    <w:rPr>
                      <w:rFonts w:cs="Arial"/>
                      <w:bCs/>
                      <w:iCs/>
                      <w:lang w:eastAsia="ja-JP"/>
                    </w:rPr>
                  </w:pPr>
                  <w:r>
                    <w:rPr>
                      <w:b/>
                      <w:lang w:eastAsia="ja-JP"/>
                    </w:rPr>
                    <w:t>&gt;PDU Session Resource Setup Request Item</w:t>
                  </w:r>
                </w:p>
              </w:tc>
              <w:tc>
                <w:tcPr>
                  <w:tcW w:w="2728" w:type="dxa"/>
                </w:tcPr>
                <w:p>
                  <w:pPr>
                    <w:pStyle w:val="51"/>
                    <w:ind w:firstLine="440"/>
                    <w:rPr>
                      <w:rFonts w:cs="Arial"/>
                      <w:lang w:eastAsia="ja-JP"/>
                    </w:rPr>
                  </w:pPr>
                </w:p>
              </w:tc>
              <w:tc>
                <w:tcPr>
                  <w:tcW w:w="2428" w:type="dxa"/>
                </w:tcPr>
                <w:p>
                  <w:pPr>
                    <w:pStyle w:val="51"/>
                    <w:ind w:firstLine="440"/>
                    <w:rPr>
                      <w:rFonts w:cs="Arial"/>
                      <w:i/>
                      <w:lang w:eastAsia="ja-JP"/>
                    </w:rPr>
                  </w:pPr>
                  <w:r>
                    <w:rPr>
                      <w:bCs/>
                      <w:i/>
                      <w:szCs w:val="18"/>
                      <w:lang w:eastAsia="ja-JP"/>
                    </w:rPr>
                    <w:t>1..&lt;maxnoofPDUSessions&gt;</w:t>
                  </w:r>
                </w:p>
              </w:tc>
              <w:tc>
                <w:tcPr>
                  <w:tcW w:w="1027" w:type="dxa"/>
                </w:tcPr>
                <w:p>
                  <w:pPr>
                    <w:pStyle w:val="51"/>
                    <w:ind w:firstLine="440"/>
                    <w:rPr>
                      <w:rFonts w:cs="Arial"/>
                      <w:lang w:eastAsia="ja-JP"/>
                    </w:rPr>
                  </w:pPr>
                </w:p>
              </w:tc>
              <w:tc>
                <w:tcPr>
                  <w:tcW w:w="1187" w:type="dxa"/>
                </w:tcPr>
                <w:p>
                  <w:pPr>
                    <w:pStyle w:val="51"/>
                    <w:ind w:firstLine="440"/>
                    <w:rPr>
                      <w:rFonts w:cs="Arial"/>
                      <w:lang w:eastAsia="ja-JP"/>
                    </w:rPr>
                  </w:pPr>
                </w:p>
              </w:tc>
              <w:tc>
                <w:tcPr>
                  <w:tcW w:w="1037" w:type="dxa"/>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163" w:firstLine="440"/>
                    <w:rPr>
                      <w:rFonts w:cs="Arial"/>
                      <w:bCs/>
                      <w:iCs/>
                      <w:lang w:eastAsia="ja-JP"/>
                    </w:rPr>
                  </w:pPr>
                  <w:r>
                    <w:rPr>
                      <w:rFonts w:cs="Arial"/>
                      <w:bCs/>
                      <w:iCs/>
                      <w:lang w:eastAsia="ja-JP"/>
                    </w:rPr>
                    <w:t>&gt;&gt;PDU Session ID</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9.3.1.50</w:t>
                  </w:r>
                </w:p>
              </w:tc>
              <w:tc>
                <w:tcPr>
                  <w:tcW w:w="1187" w:type="dxa"/>
                </w:tcPr>
                <w:p>
                  <w:pPr>
                    <w:pStyle w:val="51"/>
                    <w:ind w:firstLine="440"/>
                    <w:rPr>
                      <w:rFonts w:cs="Arial"/>
                      <w:lang w:eastAsia="ja-JP"/>
                    </w:rPr>
                  </w:pPr>
                </w:p>
              </w:tc>
              <w:tc>
                <w:tcPr>
                  <w:tcW w:w="1037" w:type="dxa"/>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163" w:firstLine="440"/>
                    <w:rPr>
                      <w:rFonts w:cs="Arial"/>
                      <w:bCs/>
                      <w:iCs/>
                      <w:lang w:eastAsia="ja-JP"/>
                    </w:rPr>
                  </w:pPr>
                  <w:r>
                    <w:rPr>
                      <w:rFonts w:cs="Arial"/>
                      <w:bCs/>
                      <w:iCs/>
                      <w:lang w:eastAsia="ja-JP"/>
                    </w:rPr>
                    <w:t>&gt;&gt;PDU Session NAS-PDU</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NAS-PDU</w:t>
                  </w:r>
                </w:p>
                <w:p>
                  <w:pPr>
                    <w:pStyle w:val="51"/>
                    <w:ind w:firstLine="440"/>
                    <w:rPr>
                      <w:rFonts w:cs="Arial"/>
                      <w:lang w:eastAsia="ja-JP"/>
                    </w:rPr>
                  </w:pPr>
                  <w:r>
                    <w:rPr>
                      <w:rFonts w:cs="Arial"/>
                      <w:lang w:eastAsia="ja-JP"/>
                    </w:rPr>
                    <w:t>9.3.3.4</w:t>
                  </w:r>
                </w:p>
              </w:tc>
              <w:tc>
                <w:tcPr>
                  <w:tcW w:w="1187" w:type="dxa"/>
                </w:tcPr>
                <w:p>
                  <w:pPr>
                    <w:pStyle w:val="51"/>
                    <w:ind w:firstLine="440"/>
                    <w:rPr>
                      <w:rFonts w:cs="Arial"/>
                      <w:lang w:eastAsia="ja-JP"/>
                    </w:rPr>
                  </w:pPr>
                </w:p>
              </w:tc>
              <w:tc>
                <w:tcPr>
                  <w:tcW w:w="1037" w:type="dxa"/>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163" w:firstLine="440"/>
                    <w:rPr>
                      <w:rFonts w:cs="Arial"/>
                      <w:bCs/>
                      <w:iCs/>
                      <w:lang w:eastAsia="ja-JP"/>
                    </w:rPr>
                  </w:pPr>
                  <w:r>
                    <w:rPr>
                      <w:rFonts w:cs="Arial"/>
                      <w:bCs/>
                      <w:iCs/>
                      <w:lang w:eastAsia="ja-JP"/>
                    </w:rPr>
                    <w:t xml:space="preserve">&gt;&gt;S-NSSAI </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9.3.1.24</w:t>
                  </w:r>
                </w:p>
              </w:tc>
              <w:tc>
                <w:tcPr>
                  <w:tcW w:w="1187" w:type="dxa"/>
                </w:tcPr>
                <w:p>
                  <w:pPr>
                    <w:pStyle w:val="51"/>
                    <w:ind w:firstLine="440"/>
                    <w:rPr>
                      <w:rFonts w:cs="Arial"/>
                      <w:lang w:eastAsia="ja-JP"/>
                    </w:rPr>
                  </w:pPr>
                </w:p>
              </w:tc>
              <w:tc>
                <w:tcPr>
                  <w:tcW w:w="1037" w:type="dxa"/>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165" w:firstLine="440"/>
                    <w:rPr>
                      <w:rFonts w:cs="Arial"/>
                      <w:lang w:eastAsia="ja-JP"/>
                    </w:rPr>
                  </w:pPr>
                  <w:r>
                    <w:rPr>
                      <w:rFonts w:cs="Arial"/>
                      <w:bCs/>
                      <w:iCs/>
                      <w:lang w:eastAsia="ja-JP"/>
                    </w:rPr>
                    <w:t>&gt;&gt;PDU Session Resource Setup Request Transfer</w:t>
                  </w:r>
                </w:p>
                <w:p>
                  <w:pPr>
                    <w:pStyle w:val="51"/>
                    <w:ind w:left="163" w:firstLine="440"/>
                    <w:rPr>
                      <w:rFonts w:cs="Arial"/>
                      <w:bCs/>
                      <w:iCs/>
                      <w:lang w:eastAsia="ja-JP"/>
                    </w:rPr>
                  </w:pP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OCTET STRING</w:t>
                  </w:r>
                </w:p>
              </w:tc>
              <w:tc>
                <w:tcPr>
                  <w:tcW w:w="1187" w:type="dxa"/>
                </w:tcPr>
                <w:p>
                  <w:pPr>
                    <w:pStyle w:val="51"/>
                    <w:ind w:firstLine="440"/>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37" w:type="dxa"/>
                  <w:shd w:val="clear" w:color="auto" w:fill="auto"/>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bCs/>
                      <w:iCs/>
                      <w:lang w:eastAsia="ja-JP"/>
                    </w:rPr>
                  </w:pPr>
                  <w:r>
                    <w:rPr>
                      <w:rFonts w:cs="Arial"/>
                      <w:bCs/>
                      <w:iCs/>
                      <w:lang w:eastAsia="ja-JP"/>
                    </w:rPr>
                    <w:t>Allowed NSSAI</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9.3.1.31</w:t>
                  </w:r>
                </w:p>
              </w:tc>
              <w:tc>
                <w:tcPr>
                  <w:tcW w:w="1187" w:type="dxa"/>
                </w:tcPr>
                <w:p>
                  <w:pPr>
                    <w:pStyle w:val="51"/>
                    <w:ind w:firstLine="440"/>
                    <w:rPr>
                      <w:iCs/>
                      <w:lang w:eastAsia="ja-JP"/>
                    </w:rPr>
                  </w:pPr>
                  <w:r>
                    <w:rPr>
                      <w:iCs/>
                      <w:lang w:eastAsia="ja-JP"/>
                    </w:rPr>
                    <w:t>Indicates the S-NSSAIs permitted by the network</w:t>
                  </w:r>
                </w:p>
              </w:tc>
              <w:tc>
                <w:tcPr>
                  <w:tcW w:w="1037" w:type="dxa"/>
                  <w:shd w:val="clear" w:color="auto" w:fill="auto"/>
                </w:tcPr>
                <w:p>
                  <w:pPr>
                    <w:pStyle w:val="52"/>
                    <w:jc w:val="center"/>
                    <w:rPr>
                      <w:rFonts w:cs="Arial"/>
                      <w:lang w:eastAsia="ja-JP"/>
                    </w:rPr>
                  </w:pPr>
                  <w:r>
                    <w:rPr>
                      <w:rFonts w:cs="Arial"/>
                      <w:lang w:eastAsia="ja-JP"/>
                    </w:rPr>
                    <w:t>YES</w:t>
                  </w:r>
                </w:p>
              </w:tc>
              <w:tc>
                <w:tcPr>
                  <w:tcW w:w="1037" w:type="dxa"/>
                </w:tcPr>
                <w:p>
                  <w:pPr>
                    <w:pStyle w:val="52"/>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bCs/>
                      <w:lang w:eastAsia="zh-CN"/>
                    </w:rPr>
                    <w:t>UE Security Capabilities</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9.3.1.86</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highlight w:val="yellow"/>
                      <w:lang w:eastAsia="zh-CN"/>
                    </w:rPr>
                    <w:t>Security Key</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9.3.1.87</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lang w:eastAsia="ja-JP"/>
                    </w:rPr>
                    <w:t>Trace Activation</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9.3.1.14</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lang w:eastAsia="zh-CN"/>
                    </w:rPr>
                    <w:t>Mobility Restriction List</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9.3.1.85</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lang w:eastAsia="zh-CN"/>
                    </w:rPr>
                    <w:t>UE Radio Capability</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9.3.1.74</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t>Index to RAT/Frequency Selection</w:t>
                  </w:r>
                  <w:r>
                    <w:rPr>
                      <w:rFonts w:cs="Arial"/>
                      <w:lang w:eastAsia="zh-CN"/>
                    </w:rPr>
                    <w:t xml:space="preserve"> Priority</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9.3.1.61</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lang w:eastAsia="ja-JP"/>
                    </w:rPr>
                    <w:t>Masked IMEISV</w:t>
                  </w:r>
                </w:p>
              </w:tc>
              <w:tc>
                <w:tcPr>
                  <w:tcW w:w="2728" w:type="dxa"/>
                </w:tcPr>
                <w:p>
                  <w:pPr>
                    <w:pStyle w:val="51"/>
                    <w:ind w:firstLine="440"/>
                    <w:rPr>
                      <w:rFonts w:cs="Arial"/>
                      <w:lang w:eastAsia="ja-JP"/>
                    </w:rPr>
                  </w:pPr>
                  <w:r>
                    <w:rPr>
                      <w:rFonts w:cs="Arial"/>
                      <w:lang w:eastAsia="zh-CN"/>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9.3.1.54</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lang w:eastAsia="ja-JP"/>
                    </w:rPr>
                    <w:t>NAS-PDU</w:t>
                  </w:r>
                </w:p>
              </w:tc>
              <w:tc>
                <w:tcPr>
                  <w:tcW w:w="2728" w:type="dxa"/>
                </w:tcPr>
                <w:p>
                  <w:pPr>
                    <w:pStyle w:val="51"/>
                    <w:ind w:firstLine="440"/>
                    <w:rPr>
                      <w:rFonts w:cs="Arial"/>
                      <w:lang w:eastAsia="ja-JP"/>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lang w:eastAsia="ja-JP"/>
                    </w:rPr>
                    <w:t>9.3.3.4</w:t>
                  </w:r>
                </w:p>
              </w:tc>
              <w:tc>
                <w:tcPr>
                  <w:tcW w:w="1187" w:type="dxa"/>
                </w:tcPr>
                <w:p>
                  <w:pPr>
                    <w:pStyle w:val="51"/>
                    <w:ind w:firstLine="440"/>
                    <w:rPr>
                      <w:lang w:eastAsia="ja-JP"/>
                    </w:rPr>
                  </w:pPr>
                </w:p>
              </w:tc>
              <w:tc>
                <w:tcPr>
                  <w:tcW w:w="1037" w:type="dxa"/>
                </w:tcPr>
                <w:p>
                  <w:pPr>
                    <w:pStyle w:val="52"/>
                    <w:jc w:val="center"/>
                    <w:rPr>
                      <w:rFonts w:cs="Arial"/>
                      <w:lang w:eastAsia="ja-JP"/>
                    </w:rPr>
                  </w:pPr>
                  <w:r>
                    <w:rPr>
                      <w:rFonts w:cs="Arial"/>
                      <w:lang w:eastAsia="ja-JP"/>
                    </w:rPr>
                    <w:t>YES</w:t>
                  </w:r>
                </w:p>
              </w:tc>
              <w:tc>
                <w:tcPr>
                  <w:tcW w:w="1037" w:type="dxa"/>
                </w:tcPr>
                <w:p>
                  <w:pPr>
                    <w:pStyle w:val="52"/>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lang w:eastAsia="ja-JP"/>
                    </w:rPr>
                  </w:pPr>
                  <w:r>
                    <w:rPr>
                      <w:rFonts w:eastAsia="Batang" w:cs="Arial"/>
                    </w:rPr>
                    <w:t>Emergency Fallback Indicator</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rPr>
                      <w:lang w:eastAsia="ja-JP"/>
                    </w:rPr>
                  </w:pPr>
                  <w:r>
                    <w:t>9.3.1.26</w:t>
                  </w:r>
                </w:p>
              </w:tc>
              <w:tc>
                <w:tcPr>
                  <w:tcW w:w="1187" w:type="dxa"/>
                </w:tcPr>
                <w:p>
                  <w:pPr>
                    <w:pStyle w:val="51"/>
                    <w:ind w:firstLine="440"/>
                    <w:rPr>
                      <w:rFonts w:eastAsia="等线" w:cs="Arial"/>
                      <w:lang w:eastAsia="zh-CN"/>
                    </w:rPr>
                  </w:pPr>
                </w:p>
              </w:tc>
              <w:tc>
                <w:tcPr>
                  <w:tcW w:w="1037" w:type="dxa"/>
                </w:tcPr>
                <w:p>
                  <w:pPr>
                    <w:pStyle w:val="52"/>
                    <w:jc w:val="center"/>
                    <w:rPr>
                      <w:rFonts w:cs="Arial"/>
                      <w:lang w:eastAsia="ja-JP"/>
                    </w:rPr>
                  </w:pPr>
                  <w:r>
                    <w:rPr>
                      <w:rFonts w:cs="Arial"/>
                    </w:rPr>
                    <w:t>YES</w:t>
                  </w:r>
                </w:p>
              </w:tc>
              <w:tc>
                <w:tcPr>
                  <w:tcW w:w="1037" w:type="dxa"/>
                </w:tcPr>
                <w:p>
                  <w:pPr>
                    <w:pStyle w:val="52"/>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rPr>
                  </w:pPr>
                  <w:r>
                    <w:rPr>
                      <w:rFonts w:eastAsia="Batang" w:cs="Arial"/>
                    </w:rPr>
                    <w:t>RRC Inactive Transition Report Request</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pPr>
                  <w:r>
                    <w:t>9.3.1.91</w:t>
                  </w:r>
                </w:p>
              </w:tc>
              <w:tc>
                <w:tcPr>
                  <w:tcW w:w="1187" w:type="dxa"/>
                </w:tcPr>
                <w:p>
                  <w:pPr>
                    <w:pStyle w:val="51"/>
                    <w:ind w:firstLine="440"/>
                    <w:rPr>
                      <w:rFonts w:eastAsia="等线" w:cs="Arial"/>
                      <w:lang w:eastAsia="zh-CN"/>
                    </w:rPr>
                  </w:pPr>
                </w:p>
              </w:tc>
              <w:tc>
                <w:tcPr>
                  <w:tcW w:w="1037" w:type="dxa"/>
                </w:tcPr>
                <w:p>
                  <w:pPr>
                    <w:pStyle w:val="52"/>
                    <w:jc w:val="center"/>
                    <w:rPr>
                      <w:rFonts w:cs="Arial"/>
                    </w:rPr>
                  </w:pPr>
                  <w:r>
                    <w:rPr>
                      <w:rFonts w:cs="Arial"/>
                    </w:rPr>
                    <w:t>YES</w:t>
                  </w:r>
                </w:p>
              </w:tc>
              <w:tc>
                <w:tcPr>
                  <w:tcW w:w="1037" w:type="dxa"/>
                </w:tcPr>
                <w:p>
                  <w:pPr>
                    <w:pStyle w:val="52"/>
                    <w:jc w:val="center"/>
                    <w:rPr>
                      <w:rFonts w:cs="Arial"/>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rPr>
                  </w:pPr>
                  <w:r>
                    <w:rPr>
                      <w:rFonts w:hint="eastAsia" w:cs="Arial"/>
                      <w:lang w:eastAsia="zh-CN"/>
                    </w:rPr>
                    <w:t>UE Radio Capability for Paging</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pPr>
                  <w:r>
                    <w:t>9.3.1.68</w:t>
                  </w:r>
                </w:p>
              </w:tc>
              <w:tc>
                <w:tcPr>
                  <w:tcW w:w="1187" w:type="dxa"/>
                </w:tcPr>
                <w:p>
                  <w:pPr>
                    <w:pStyle w:val="51"/>
                    <w:ind w:firstLine="440"/>
                    <w:rPr>
                      <w:rFonts w:eastAsia="等线" w:cs="Arial"/>
                      <w:lang w:eastAsia="zh-CN"/>
                    </w:rPr>
                  </w:pPr>
                </w:p>
              </w:tc>
              <w:tc>
                <w:tcPr>
                  <w:tcW w:w="1037" w:type="dxa"/>
                </w:tcPr>
                <w:p>
                  <w:pPr>
                    <w:pStyle w:val="52"/>
                    <w:jc w:val="center"/>
                    <w:rPr>
                      <w:rFonts w:cs="Arial"/>
                    </w:rPr>
                  </w:pPr>
                  <w:r>
                    <w:rPr>
                      <w:rFonts w:cs="Arial"/>
                    </w:rPr>
                    <w:t>YES</w:t>
                  </w:r>
                </w:p>
              </w:tc>
              <w:tc>
                <w:tcPr>
                  <w:tcW w:w="1037" w:type="dxa"/>
                </w:tcPr>
                <w:p>
                  <w:pPr>
                    <w:pStyle w:val="52"/>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zh-CN"/>
                    </w:rPr>
                  </w:pPr>
                  <w:r>
                    <w:rPr>
                      <w:rFonts w:cs="Arial"/>
                      <w:lang w:eastAsia="zh-CN"/>
                    </w:rPr>
                    <w:t xml:space="preserve">Redirection for Voice EPS Fallback </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pPr>
                  <w:r>
                    <w:t>9.3.1.116</w:t>
                  </w:r>
                </w:p>
              </w:tc>
              <w:tc>
                <w:tcPr>
                  <w:tcW w:w="1187" w:type="dxa"/>
                </w:tcPr>
                <w:p>
                  <w:pPr>
                    <w:pStyle w:val="51"/>
                    <w:ind w:firstLine="440"/>
                    <w:rPr>
                      <w:rFonts w:eastAsia="等线" w:cs="Arial"/>
                      <w:lang w:eastAsia="zh-CN"/>
                    </w:rPr>
                  </w:pPr>
                </w:p>
              </w:tc>
              <w:tc>
                <w:tcPr>
                  <w:tcW w:w="1037" w:type="dxa"/>
                </w:tcPr>
                <w:p>
                  <w:pPr>
                    <w:pStyle w:val="52"/>
                    <w:jc w:val="center"/>
                    <w:rPr>
                      <w:rFonts w:cs="Arial"/>
                    </w:rPr>
                  </w:pPr>
                  <w:r>
                    <w:rPr>
                      <w:rFonts w:cs="Arial"/>
                    </w:rPr>
                    <w:t>YES</w:t>
                  </w:r>
                </w:p>
              </w:tc>
              <w:tc>
                <w:tcPr>
                  <w:tcW w:w="1037" w:type="dxa"/>
                </w:tcPr>
                <w:p>
                  <w:pPr>
                    <w:pStyle w:val="52"/>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zh-CN"/>
                    </w:rPr>
                  </w:pPr>
                  <w:r>
                    <w:rPr>
                      <w:lang w:eastAsia="ja-JP"/>
                    </w:rPr>
                    <w:t>Location Reporting Request Type</w:t>
                  </w:r>
                </w:p>
              </w:tc>
              <w:tc>
                <w:tcPr>
                  <w:tcW w:w="2728" w:type="dxa"/>
                </w:tcPr>
                <w:p>
                  <w:pPr>
                    <w:pStyle w:val="51"/>
                    <w:ind w:firstLine="440"/>
                    <w:rPr>
                      <w:rFonts w:cs="Arial"/>
                      <w:lang w:eastAsia="zh-CN"/>
                    </w:rPr>
                  </w:pPr>
                  <w:r>
                    <w:rPr>
                      <w:lang w:eastAsia="ja-JP"/>
                    </w:rPr>
                    <w:t>O</w:t>
                  </w:r>
                </w:p>
              </w:tc>
              <w:tc>
                <w:tcPr>
                  <w:tcW w:w="2428" w:type="dxa"/>
                </w:tcPr>
                <w:p>
                  <w:pPr>
                    <w:pStyle w:val="51"/>
                    <w:ind w:firstLine="440"/>
                    <w:rPr>
                      <w:rFonts w:cs="Arial"/>
                      <w:i/>
                      <w:lang w:eastAsia="ja-JP"/>
                    </w:rPr>
                  </w:pPr>
                </w:p>
              </w:tc>
              <w:tc>
                <w:tcPr>
                  <w:tcW w:w="1027" w:type="dxa"/>
                </w:tcPr>
                <w:p>
                  <w:pPr>
                    <w:pStyle w:val="51"/>
                    <w:ind w:firstLine="440"/>
                  </w:pPr>
                  <w:r>
                    <w:rPr>
                      <w:lang w:eastAsia="ja-JP"/>
                    </w:rPr>
                    <w:t>9.3.1.65</w:t>
                  </w:r>
                </w:p>
              </w:tc>
              <w:tc>
                <w:tcPr>
                  <w:tcW w:w="1187" w:type="dxa"/>
                </w:tcPr>
                <w:p>
                  <w:pPr>
                    <w:pStyle w:val="51"/>
                    <w:ind w:firstLine="440"/>
                    <w:rPr>
                      <w:rFonts w:eastAsia="等线" w:cs="Arial"/>
                      <w:lang w:eastAsia="zh-CN"/>
                    </w:rPr>
                  </w:pPr>
                </w:p>
              </w:tc>
              <w:tc>
                <w:tcPr>
                  <w:tcW w:w="1037" w:type="dxa"/>
                </w:tcPr>
                <w:p>
                  <w:pPr>
                    <w:pStyle w:val="52"/>
                    <w:jc w:val="center"/>
                    <w:rPr>
                      <w:rFonts w:cs="Arial"/>
                    </w:rPr>
                  </w:pPr>
                  <w:r>
                    <w:rPr>
                      <w:lang w:eastAsia="ja-JP"/>
                    </w:rPr>
                    <w:t>YES</w:t>
                  </w:r>
                </w:p>
              </w:tc>
              <w:tc>
                <w:tcPr>
                  <w:tcW w:w="1037" w:type="dxa"/>
                </w:tcPr>
                <w:p>
                  <w:pPr>
                    <w:pStyle w:val="52"/>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keepNext/>
                    <w:keepLines/>
                    <w:spacing w:after="0"/>
                    <w:rPr>
                      <w:rFonts w:ascii="Arial" w:hAnsi="Arial" w:eastAsia="Batang" w:cs="Arial"/>
                      <w:sz w:val="18"/>
                    </w:rPr>
                  </w:pPr>
                  <w:r>
                    <w:rPr>
                      <w:rFonts w:ascii="Arial" w:hAnsi="Arial" w:cs="Arial"/>
                      <w:sz w:val="18"/>
                    </w:rPr>
                    <w:t>CN Assisted RAN Parameters Tuning</w:t>
                  </w:r>
                </w:p>
              </w:tc>
              <w:tc>
                <w:tcPr>
                  <w:tcW w:w="2728" w:type="dxa"/>
                </w:tcPr>
                <w:p>
                  <w:pPr>
                    <w:keepNext/>
                    <w:keepLines/>
                    <w:spacing w:after="0"/>
                    <w:rPr>
                      <w:rFonts w:ascii="Arial" w:hAnsi="Arial" w:cs="Arial"/>
                      <w:sz w:val="18"/>
                    </w:rPr>
                  </w:pPr>
                  <w:r>
                    <w:rPr>
                      <w:rFonts w:ascii="Arial" w:hAnsi="Arial" w:cs="Arial"/>
                      <w:sz w:val="18"/>
                    </w:rPr>
                    <w:t>O</w:t>
                  </w:r>
                </w:p>
              </w:tc>
              <w:tc>
                <w:tcPr>
                  <w:tcW w:w="2428" w:type="dxa"/>
                </w:tcPr>
                <w:p>
                  <w:pPr>
                    <w:keepNext/>
                    <w:keepLines/>
                    <w:spacing w:after="0"/>
                    <w:rPr>
                      <w:rFonts w:ascii="Arial" w:hAnsi="Arial" w:cs="Arial"/>
                      <w:i/>
                      <w:sz w:val="18"/>
                      <w:lang w:eastAsia="ja-JP"/>
                    </w:rPr>
                  </w:pPr>
                </w:p>
              </w:tc>
              <w:tc>
                <w:tcPr>
                  <w:tcW w:w="1027" w:type="dxa"/>
                </w:tcPr>
                <w:p>
                  <w:pPr>
                    <w:keepNext/>
                    <w:keepLines/>
                    <w:spacing w:after="0"/>
                    <w:rPr>
                      <w:rFonts w:ascii="Arial" w:hAnsi="Arial"/>
                      <w:sz w:val="18"/>
                    </w:rPr>
                  </w:pPr>
                  <w:r>
                    <w:rPr>
                      <w:rFonts w:ascii="Arial" w:hAnsi="Arial"/>
                      <w:sz w:val="18"/>
                    </w:rPr>
                    <w:t>9.3.1.119</w:t>
                  </w:r>
                </w:p>
              </w:tc>
              <w:tc>
                <w:tcPr>
                  <w:tcW w:w="1187" w:type="dxa"/>
                </w:tcPr>
                <w:p>
                  <w:pPr>
                    <w:keepNext/>
                    <w:keepLines/>
                    <w:spacing w:after="0"/>
                    <w:rPr>
                      <w:rFonts w:ascii="Arial" w:hAnsi="Arial" w:cs="Arial"/>
                      <w:sz w:val="18"/>
                    </w:rPr>
                  </w:pPr>
                </w:p>
              </w:tc>
              <w:tc>
                <w:tcPr>
                  <w:tcW w:w="1037" w:type="dxa"/>
                </w:tcPr>
                <w:p>
                  <w:pPr>
                    <w:keepNext/>
                    <w:keepLines/>
                    <w:spacing w:after="0"/>
                    <w:jc w:val="center"/>
                    <w:rPr>
                      <w:rFonts w:ascii="Arial" w:hAnsi="Arial" w:cs="Arial"/>
                      <w:sz w:val="18"/>
                    </w:rPr>
                  </w:pPr>
                  <w:r>
                    <w:rPr>
                      <w:rFonts w:ascii="Arial" w:hAnsi="Arial" w:cs="Arial"/>
                      <w:sz w:val="18"/>
                    </w:rPr>
                    <w:t>YES</w:t>
                  </w:r>
                </w:p>
              </w:tc>
              <w:tc>
                <w:tcPr>
                  <w:tcW w:w="1037" w:type="dxa"/>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keepNext/>
                    <w:keepLines/>
                    <w:spacing w:after="0"/>
                    <w:rPr>
                      <w:rFonts w:ascii="Arial" w:hAnsi="Arial" w:cs="Arial"/>
                      <w:sz w:val="18"/>
                    </w:rPr>
                  </w:pPr>
                  <w:r>
                    <w:rPr>
                      <w:rFonts w:ascii="Arial" w:hAnsi="Arial" w:cs="Arial"/>
                      <w:sz w:val="18"/>
                    </w:rPr>
                    <w:t>SRVCC Operation Possible</w:t>
                  </w:r>
                </w:p>
              </w:tc>
              <w:tc>
                <w:tcPr>
                  <w:tcW w:w="2728" w:type="dxa"/>
                </w:tcPr>
                <w:p>
                  <w:pPr>
                    <w:keepNext/>
                    <w:keepLines/>
                    <w:spacing w:after="0"/>
                    <w:rPr>
                      <w:rFonts w:ascii="Arial" w:hAnsi="Arial" w:cs="Arial"/>
                      <w:sz w:val="18"/>
                    </w:rPr>
                  </w:pPr>
                  <w:r>
                    <w:rPr>
                      <w:rFonts w:cs="Arial"/>
                      <w:lang w:eastAsia="ja-JP"/>
                    </w:rPr>
                    <w:t>O</w:t>
                  </w:r>
                </w:p>
              </w:tc>
              <w:tc>
                <w:tcPr>
                  <w:tcW w:w="2428" w:type="dxa"/>
                </w:tcPr>
                <w:p>
                  <w:pPr>
                    <w:keepNext/>
                    <w:keepLines/>
                    <w:spacing w:after="0"/>
                    <w:rPr>
                      <w:rFonts w:ascii="Arial" w:hAnsi="Arial" w:cs="Arial"/>
                      <w:i/>
                      <w:sz w:val="18"/>
                      <w:lang w:eastAsia="ja-JP"/>
                    </w:rPr>
                  </w:pPr>
                </w:p>
              </w:tc>
              <w:tc>
                <w:tcPr>
                  <w:tcW w:w="1027" w:type="dxa"/>
                </w:tcPr>
                <w:p>
                  <w:pPr>
                    <w:keepNext/>
                    <w:keepLines/>
                    <w:spacing w:after="0"/>
                    <w:rPr>
                      <w:rFonts w:ascii="Arial" w:hAnsi="Arial"/>
                      <w:sz w:val="18"/>
                    </w:rPr>
                  </w:pPr>
                  <w:r>
                    <w:rPr>
                      <w:rFonts w:ascii="Arial" w:hAnsi="Arial"/>
                      <w:sz w:val="18"/>
                    </w:rPr>
                    <w:t>9.3.1.128</w:t>
                  </w:r>
                </w:p>
              </w:tc>
              <w:tc>
                <w:tcPr>
                  <w:tcW w:w="1187" w:type="dxa"/>
                </w:tcPr>
                <w:p>
                  <w:pPr>
                    <w:keepNext/>
                    <w:keepLines/>
                    <w:spacing w:after="0"/>
                    <w:rPr>
                      <w:rFonts w:ascii="Arial" w:hAnsi="Arial" w:cs="Arial"/>
                      <w:sz w:val="18"/>
                    </w:rPr>
                  </w:pPr>
                </w:p>
              </w:tc>
              <w:tc>
                <w:tcPr>
                  <w:tcW w:w="1037" w:type="dxa"/>
                </w:tcPr>
                <w:p>
                  <w:pPr>
                    <w:keepNext/>
                    <w:keepLines/>
                    <w:spacing w:after="0"/>
                    <w:jc w:val="center"/>
                    <w:rPr>
                      <w:rFonts w:ascii="Arial" w:hAnsi="Arial" w:cs="Arial"/>
                      <w:sz w:val="18"/>
                    </w:rPr>
                  </w:pPr>
                  <w:r>
                    <w:rPr>
                      <w:rFonts w:ascii="Arial" w:hAnsi="Arial" w:cs="Arial"/>
                      <w:lang w:eastAsia="ja-JP"/>
                    </w:rPr>
                    <w:t>Y</w:t>
                  </w:r>
                  <w:r>
                    <w:rPr>
                      <w:rFonts w:ascii="Arial" w:hAnsi="Arial" w:cs="Arial"/>
                      <w:sz w:val="18"/>
                    </w:rPr>
                    <w:t>ES</w:t>
                  </w:r>
                </w:p>
              </w:tc>
              <w:tc>
                <w:tcPr>
                  <w:tcW w:w="1037" w:type="dxa"/>
                </w:tcPr>
                <w:p>
                  <w:pPr>
                    <w:keepNext/>
                    <w:keepLines/>
                    <w:spacing w:after="0"/>
                    <w:jc w:val="center"/>
                    <w:rPr>
                      <w:rFonts w:ascii="Arial" w:hAnsi="Arial" w:cs="Arial"/>
                      <w:sz w:val="18"/>
                      <w:lang w:eastAsia="ja-JP"/>
                    </w:rPr>
                  </w:pPr>
                  <w:r>
                    <w:rPr>
                      <w:rFonts w:ascii="Arial" w:hAnsi="Arial" w:cs="Arial"/>
                      <w:lang w:eastAsia="ja-JP"/>
                    </w:rPr>
                    <w:t>ignore</w:t>
                  </w:r>
                </w:p>
              </w:tc>
            </w:tr>
          </w:tbl>
          <w:p/>
          <w:p>
            <w:pPr>
              <w:spacing w:afterLines="50" w:line="240" w:lineRule="auto"/>
              <w:jc w:val="left"/>
            </w:pPr>
          </w:p>
        </w:tc>
      </w:tr>
    </w:tbl>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等线">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2060A07"/>
    <w:multiLevelType w:val="multilevel"/>
    <w:tmpl w:val="22060A0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5"/>
  </w:num>
  <w:num w:numId="4">
    <w:abstractNumId w:val="1"/>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0CF"/>
    <w:rsid w:val="000044EF"/>
    <w:rsid w:val="00004776"/>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F6"/>
    <w:rsid w:val="00020711"/>
    <w:rsid w:val="00020EEB"/>
    <w:rsid w:val="00021438"/>
    <w:rsid w:val="0002174B"/>
    <w:rsid w:val="00021EC9"/>
    <w:rsid w:val="000221E4"/>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6854"/>
    <w:rsid w:val="0003728A"/>
    <w:rsid w:val="00037801"/>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101"/>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43EF"/>
    <w:rsid w:val="0009476A"/>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1E8"/>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63A"/>
    <w:rsid w:val="0010283B"/>
    <w:rsid w:val="00102A80"/>
    <w:rsid w:val="00102FDE"/>
    <w:rsid w:val="00103483"/>
    <w:rsid w:val="001036A0"/>
    <w:rsid w:val="001038D8"/>
    <w:rsid w:val="001041B8"/>
    <w:rsid w:val="00104AF6"/>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B39"/>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318C"/>
    <w:rsid w:val="00133DB6"/>
    <w:rsid w:val="00134A8A"/>
    <w:rsid w:val="00135DEA"/>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4ED0"/>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29E0"/>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C7E"/>
    <w:rsid w:val="0018121D"/>
    <w:rsid w:val="00181275"/>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633"/>
    <w:rsid w:val="00194714"/>
    <w:rsid w:val="00194DEB"/>
    <w:rsid w:val="00194F0A"/>
    <w:rsid w:val="00194F82"/>
    <w:rsid w:val="001957DC"/>
    <w:rsid w:val="00195E21"/>
    <w:rsid w:val="00196949"/>
    <w:rsid w:val="00196EEE"/>
    <w:rsid w:val="001975F3"/>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AA2"/>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5B5"/>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525"/>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1E8E"/>
    <w:rsid w:val="001E2038"/>
    <w:rsid w:val="001E2F41"/>
    <w:rsid w:val="001E4112"/>
    <w:rsid w:val="001E42F9"/>
    <w:rsid w:val="001E444F"/>
    <w:rsid w:val="001E4904"/>
    <w:rsid w:val="001E4939"/>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05AF"/>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24"/>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4F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D9"/>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25B"/>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5A"/>
    <w:rsid w:val="002919E4"/>
    <w:rsid w:val="00291FBB"/>
    <w:rsid w:val="002920F3"/>
    <w:rsid w:val="002923A4"/>
    <w:rsid w:val="00292635"/>
    <w:rsid w:val="00292A18"/>
    <w:rsid w:val="00292AD7"/>
    <w:rsid w:val="00292E26"/>
    <w:rsid w:val="0029355F"/>
    <w:rsid w:val="002936DA"/>
    <w:rsid w:val="00293960"/>
    <w:rsid w:val="00293D6D"/>
    <w:rsid w:val="002947F9"/>
    <w:rsid w:val="00294E54"/>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A7F0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B06"/>
    <w:rsid w:val="00302DFB"/>
    <w:rsid w:val="00303823"/>
    <w:rsid w:val="003039AF"/>
    <w:rsid w:val="00303F59"/>
    <w:rsid w:val="003054E4"/>
    <w:rsid w:val="00305CF1"/>
    <w:rsid w:val="00305E46"/>
    <w:rsid w:val="0030600F"/>
    <w:rsid w:val="00306037"/>
    <w:rsid w:val="00306D38"/>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1AA"/>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467"/>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4A4"/>
    <w:rsid w:val="0033659F"/>
    <w:rsid w:val="00336735"/>
    <w:rsid w:val="00336D7B"/>
    <w:rsid w:val="00336EFD"/>
    <w:rsid w:val="00337317"/>
    <w:rsid w:val="00337C96"/>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DF"/>
    <w:rsid w:val="00367290"/>
    <w:rsid w:val="00367A84"/>
    <w:rsid w:val="00367B3A"/>
    <w:rsid w:val="00367F97"/>
    <w:rsid w:val="0037079F"/>
    <w:rsid w:val="00370937"/>
    <w:rsid w:val="003711B6"/>
    <w:rsid w:val="0037182E"/>
    <w:rsid w:val="003718DE"/>
    <w:rsid w:val="003719BA"/>
    <w:rsid w:val="00371E61"/>
    <w:rsid w:val="0037210D"/>
    <w:rsid w:val="00372238"/>
    <w:rsid w:val="0037274F"/>
    <w:rsid w:val="00372AF6"/>
    <w:rsid w:val="00372B01"/>
    <w:rsid w:val="003731AB"/>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5D5F"/>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213"/>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25A"/>
    <w:rsid w:val="003B57F0"/>
    <w:rsid w:val="003B57FF"/>
    <w:rsid w:val="003B5CC3"/>
    <w:rsid w:val="003B5CD6"/>
    <w:rsid w:val="003B5D07"/>
    <w:rsid w:val="003B6C89"/>
    <w:rsid w:val="003B6DDB"/>
    <w:rsid w:val="003B7321"/>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B59"/>
    <w:rsid w:val="003F1C99"/>
    <w:rsid w:val="003F27DA"/>
    <w:rsid w:val="003F2934"/>
    <w:rsid w:val="003F2E1D"/>
    <w:rsid w:val="003F349E"/>
    <w:rsid w:val="003F4088"/>
    <w:rsid w:val="003F4BD5"/>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742"/>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85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C0E"/>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5EF3"/>
    <w:rsid w:val="00476C5E"/>
    <w:rsid w:val="00476CE0"/>
    <w:rsid w:val="004774D9"/>
    <w:rsid w:val="0047777B"/>
    <w:rsid w:val="00477B23"/>
    <w:rsid w:val="00477B55"/>
    <w:rsid w:val="004802FD"/>
    <w:rsid w:val="00480703"/>
    <w:rsid w:val="00480828"/>
    <w:rsid w:val="004809A5"/>
    <w:rsid w:val="00480D53"/>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56D"/>
    <w:rsid w:val="004866B2"/>
    <w:rsid w:val="00486BE5"/>
    <w:rsid w:val="00486D04"/>
    <w:rsid w:val="004870E8"/>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4D5"/>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FE6"/>
    <w:rsid w:val="004C7421"/>
    <w:rsid w:val="004C74CC"/>
    <w:rsid w:val="004C7AAD"/>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E0148"/>
    <w:rsid w:val="004E048E"/>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13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3C2"/>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3C2"/>
    <w:rsid w:val="0052784E"/>
    <w:rsid w:val="005278F7"/>
    <w:rsid w:val="00527ACE"/>
    <w:rsid w:val="00527B02"/>
    <w:rsid w:val="00527BDE"/>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574"/>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7A7"/>
    <w:rsid w:val="00564809"/>
    <w:rsid w:val="005653FB"/>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4A4"/>
    <w:rsid w:val="00573971"/>
    <w:rsid w:val="00573B83"/>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5FE"/>
    <w:rsid w:val="00582798"/>
    <w:rsid w:val="00582D24"/>
    <w:rsid w:val="00582E1E"/>
    <w:rsid w:val="00583393"/>
    <w:rsid w:val="00583599"/>
    <w:rsid w:val="00583B51"/>
    <w:rsid w:val="00583B92"/>
    <w:rsid w:val="00583E1C"/>
    <w:rsid w:val="00585219"/>
    <w:rsid w:val="005856A5"/>
    <w:rsid w:val="005859AF"/>
    <w:rsid w:val="005860EB"/>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509"/>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02F"/>
    <w:rsid w:val="005B421A"/>
    <w:rsid w:val="005B4B1F"/>
    <w:rsid w:val="005B4D06"/>
    <w:rsid w:val="005B587D"/>
    <w:rsid w:val="005B60D1"/>
    <w:rsid w:val="005B6471"/>
    <w:rsid w:val="005B665B"/>
    <w:rsid w:val="005B6E64"/>
    <w:rsid w:val="005B6E85"/>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53E"/>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74D"/>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72E"/>
    <w:rsid w:val="005F3C87"/>
    <w:rsid w:val="005F44E2"/>
    <w:rsid w:val="005F52C1"/>
    <w:rsid w:val="005F58E6"/>
    <w:rsid w:val="005F5B65"/>
    <w:rsid w:val="005F6699"/>
    <w:rsid w:val="005F6811"/>
    <w:rsid w:val="005F7F53"/>
    <w:rsid w:val="00600282"/>
    <w:rsid w:val="00600490"/>
    <w:rsid w:val="006008AE"/>
    <w:rsid w:val="006010D3"/>
    <w:rsid w:val="00601C18"/>
    <w:rsid w:val="00602A51"/>
    <w:rsid w:val="00602E02"/>
    <w:rsid w:val="00603038"/>
    <w:rsid w:val="006030EA"/>
    <w:rsid w:val="0060350B"/>
    <w:rsid w:val="00603DDD"/>
    <w:rsid w:val="00603EEF"/>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2F0C"/>
    <w:rsid w:val="00633BB1"/>
    <w:rsid w:val="00633BF6"/>
    <w:rsid w:val="00633E45"/>
    <w:rsid w:val="00634006"/>
    <w:rsid w:val="00634260"/>
    <w:rsid w:val="006343D6"/>
    <w:rsid w:val="006343D9"/>
    <w:rsid w:val="006344D6"/>
    <w:rsid w:val="00634BBD"/>
    <w:rsid w:val="006351DB"/>
    <w:rsid w:val="0063526F"/>
    <w:rsid w:val="006357E1"/>
    <w:rsid w:val="00635851"/>
    <w:rsid w:val="00635BB0"/>
    <w:rsid w:val="00636367"/>
    <w:rsid w:val="006363CB"/>
    <w:rsid w:val="006364B5"/>
    <w:rsid w:val="00637A4C"/>
    <w:rsid w:val="00637C07"/>
    <w:rsid w:val="00637F63"/>
    <w:rsid w:val="00637FBF"/>
    <w:rsid w:val="006400AC"/>
    <w:rsid w:val="006401B4"/>
    <w:rsid w:val="0064025D"/>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901"/>
    <w:rsid w:val="00646C3D"/>
    <w:rsid w:val="00646D83"/>
    <w:rsid w:val="00647996"/>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1DAE"/>
    <w:rsid w:val="006622AF"/>
    <w:rsid w:val="006622C7"/>
    <w:rsid w:val="006625C8"/>
    <w:rsid w:val="0066266E"/>
    <w:rsid w:val="00662AEA"/>
    <w:rsid w:val="00662E04"/>
    <w:rsid w:val="006632FA"/>
    <w:rsid w:val="006633B8"/>
    <w:rsid w:val="006636CD"/>
    <w:rsid w:val="0066488A"/>
    <w:rsid w:val="00664B79"/>
    <w:rsid w:val="00664E33"/>
    <w:rsid w:val="00665498"/>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3B5"/>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81D"/>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2EF"/>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7113"/>
    <w:rsid w:val="00707567"/>
    <w:rsid w:val="00707D2B"/>
    <w:rsid w:val="00707E41"/>
    <w:rsid w:val="00710392"/>
    <w:rsid w:val="007107CE"/>
    <w:rsid w:val="00710F81"/>
    <w:rsid w:val="00710FBF"/>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3F9"/>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29"/>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D1B"/>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B4"/>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584"/>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279"/>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85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3885"/>
    <w:rsid w:val="007F3BF4"/>
    <w:rsid w:val="007F4E9C"/>
    <w:rsid w:val="007F500C"/>
    <w:rsid w:val="007F5DE0"/>
    <w:rsid w:val="007F5E47"/>
    <w:rsid w:val="007F604F"/>
    <w:rsid w:val="007F6395"/>
    <w:rsid w:val="007F6D19"/>
    <w:rsid w:val="007F7A30"/>
    <w:rsid w:val="007F7B26"/>
    <w:rsid w:val="0080021D"/>
    <w:rsid w:val="0080049F"/>
    <w:rsid w:val="008006B1"/>
    <w:rsid w:val="00800D00"/>
    <w:rsid w:val="008015C9"/>
    <w:rsid w:val="00801923"/>
    <w:rsid w:val="008022F7"/>
    <w:rsid w:val="00802353"/>
    <w:rsid w:val="00802433"/>
    <w:rsid w:val="00802589"/>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6B75"/>
    <w:rsid w:val="00837D90"/>
    <w:rsid w:val="00837F74"/>
    <w:rsid w:val="00840469"/>
    <w:rsid w:val="0084062F"/>
    <w:rsid w:val="008408A2"/>
    <w:rsid w:val="00840E5D"/>
    <w:rsid w:val="00840EBA"/>
    <w:rsid w:val="00841116"/>
    <w:rsid w:val="0084119C"/>
    <w:rsid w:val="008411C3"/>
    <w:rsid w:val="00841DBE"/>
    <w:rsid w:val="00841DEA"/>
    <w:rsid w:val="00841F6C"/>
    <w:rsid w:val="00841FA6"/>
    <w:rsid w:val="00842054"/>
    <w:rsid w:val="00842BA5"/>
    <w:rsid w:val="0084424D"/>
    <w:rsid w:val="00844311"/>
    <w:rsid w:val="00844BEF"/>
    <w:rsid w:val="00844DB8"/>
    <w:rsid w:val="00844E7D"/>
    <w:rsid w:val="00844F85"/>
    <w:rsid w:val="00846071"/>
    <w:rsid w:val="00846558"/>
    <w:rsid w:val="0084659A"/>
    <w:rsid w:val="00846A35"/>
    <w:rsid w:val="00846D10"/>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5889"/>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8AA"/>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3D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87E"/>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09"/>
    <w:rsid w:val="008C45AC"/>
    <w:rsid w:val="008C4FF1"/>
    <w:rsid w:val="008C507A"/>
    <w:rsid w:val="008C50C3"/>
    <w:rsid w:val="008C515A"/>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9A6"/>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49A"/>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C8D"/>
    <w:rsid w:val="00901EF3"/>
    <w:rsid w:val="009028BA"/>
    <w:rsid w:val="00902DB7"/>
    <w:rsid w:val="00902F71"/>
    <w:rsid w:val="00903399"/>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9B"/>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ECC"/>
    <w:rsid w:val="009235A4"/>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778"/>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0861"/>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9B3"/>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5B8"/>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DC7"/>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0C5D"/>
    <w:rsid w:val="00A01436"/>
    <w:rsid w:val="00A01490"/>
    <w:rsid w:val="00A014F6"/>
    <w:rsid w:val="00A0182A"/>
    <w:rsid w:val="00A01915"/>
    <w:rsid w:val="00A02532"/>
    <w:rsid w:val="00A026EF"/>
    <w:rsid w:val="00A0290D"/>
    <w:rsid w:val="00A031D8"/>
    <w:rsid w:val="00A038E1"/>
    <w:rsid w:val="00A03955"/>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BDD"/>
    <w:rsid w:val="00A17FD2"/>
    <w:rsid w:val="00A20554"/>
    <w:rsid w:val="00A20EFA"/>
    <w:rsid w:val="00A2102A"/>
    <w:rsid w:val="00A212A0"/>
    <w:rsid w:val="00A21A25"/>
    <w:rsid w:val="00A21AA3"/>
    <w:rsid w:val="00A21D17"/>
    <w:rsid w:val="00A2210F"/>
    <w:rsid w:val="00A22648"/>
    <w:rsid w:val="00A22EBE"/>
    <w:rsid w:val="00A24103"/>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4435"/>
    <w:rsid w:val="00A344DF"/>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555"/>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93C"/>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896"/>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210"/>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6D04"/>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5DE"/>
    <w:rsid w:val="00AE0A81"/>
    <w:rsid w:val="00AE1284"/>
    <w:rsid w:val="00AE1596"/>
    <w:rsid w:val="00AE17C3"/>
    <w:rsid w:val="00AE1846"/>
    <w:rsid w:val="00AE18BA"/>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D18"/>
    <w:rsid w:val="00B25976"/>
    <w:rsid w:val="00B25A6A"/>
    <w:rsid w:val="00B25F9B"/>
    <w:rsid w:val="00B263AB"/>
    <w:rsid w:val="00B264A6"/>
    <w:rsid w:val="00B26886"/>
    <w:rsid w:val="00B26C7C"/>
    <w:rsid w:val="00B26F98"/>
    <w:rsid w:val="00B2734B"/>
    <w:rsid w:val="00B276A4"/>
    <w:rsid w:val="00B2782A"/>
    <w:rsid w:val="00B305EF"/>
    <w:rsid w:val="00B31094"/>
    <w:rsid w:val="00B31351"/>
    <w:rsid w:val="00B3212B"/>
    <w:rsid w:val="00B325A9"/>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2BD"/>
    <w:rsid w:val="00B433F1"/>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E6D"/>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BAA"/>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4EE0"/>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061"/>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AFB"/>
    <w:rsid w:val="00BE2BD0"/>
    <w:rsid w:val="00BE30BC"/>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65D"/>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568"/>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CB4"/>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123"/>
    <w:rsid w:val="00C4681B"/>
    <w:rsid w:val="00C469A2"/>
    <w:rsid w:val="00C46B10"/>
    <w:rsid w:val="00C46D23"/>
    <w:rsid w:val="00C46E28"/>
    <w:rsid w:val="00C4711B"/>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95C"/>
    <w:rsid w:val="00C87A5F"/>
    <w:rsid w:val="00C9063C"/>
    <w:rsid w:val="00C906E8"/>
    <w:rsid w:val="00C9086C"/>
    <w:rsid w:val="00C90D14"/>
    <w:rsid w:val="00C91214"/>
    <w:rsid w:val="00C918BA"/>
    <w:rsid w:val="00C9194F"/>
    <w:rsid w:val="00C91B56"/>
    <w:rsid w:val="00C924FC"/>
    <w:rsid w:val="00C9251D"/>
    <w:rsid w:val="00C92622"/>
    <w:rsid w:val="00C92945"/>
    <w:rsid w:val="00C92A88"/>
    <w:rsid w:val="00C9304D"/>
    <w:rsid w:val="00C93098"/>
    <w:rsid w:val="00C930C2"/>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A2D"/>
    <w:rsid w:val="00CA609A"/>
    <w:rsid w:val="00CA6281"/>
    <w:rsid w:val="00CA62C6"/>
    <w:rsid w:val="00CA68C1"/>
    <w:rsid w:val="00CA6F31"/>
    <w:rsid w:val="00CA7693"/>
    <w:rsid w:val="00CA7A23"/>
    <w:rsid w:val="00CA7BA1"/>
    <w:rsid w:val="00CB00B6"/>
    <w:rsid w:val="00CB0198"/>
    <w:rsid w:val="00CB0596"/>
    <w:rsid w:val="00CB17AC"/>
    <w:rsid w:val="00CB1CF3"/>
    <w:rsid w:val="00CB1D4E"/>
    <w:rsid w:val="00CB25C3"/>
    <w:rsid w:val="00CB320A"/>
    <w:rsid w:val="00CB321E"/>
    <w:rsid w:val="00CB3976"/>
    <w:rsid w:val="00CB4C84"/>
    <w:rsid w:val="00CB4D50"/>
    <w:rsid w:val="00CB5193"/>
    <w:rsid w:val="00CB577F"/>
    <w:rsid w:val="00CB5860"/>
    <w:rsid w:val="00CB5A9E"/>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D2"/>
    <w:rsid w:val="00CF08A7"/>
    <w:rsid w:val="00CF0BC7"/>
    <w:rsid w:val="00CF0EEB"/>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164"/>
    <w:rsid w:val="00D2627F"/>
    <w:rsid w:val="00D265A1"/>
    <w:rsid w:val="00D26B19"/>
    <w:rsid w:val="00D26D53"/>
    <w:rsid w:val="00D2714A"/>
    <w:rsid w:val="00D27839"/>
    <w:rsid w:val="00D30344"/>
    <w:rsid w:val="00D304C9"/>
    <w:rsid w:val="00D30DB5"/>
    <w:rsid w:val="00D3100D"/>
    <w:rsid w:val="00D319CF"/>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4A"/>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966"/>
    <w:rsid w:val="00D777F1"/>
    <w:rsid w:val="00D77AA2"/>
    <w:rsid w:val="00D77CF2"/>
    <w:rsid w:val="00D809A5"/>
    <w:rsid w:val="00D80CB5"/>
    <w:rsid w:val="00D81B87"/>
    <w:rsid w:val="00D81E3D"/>
    <w:rsid w:val="00D82935"/>
    <w:rsid w:val="00D82EA1"/>
    <w:rsid w:val="00D830E2"/>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7AD"/>
    <w:rsid w:val="00DB7ABE"/>
    <w:rsid w:val="00DB7BCC"/>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3B"/>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D7E08"/>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635"/>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BBE"/>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A78B8"/>
    <w:rsid w:val="00EB0214"/>
    <w:rsid w:val="00EB032C"/>
    <w:rsid w:val="00EB0485"/>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27D3"/>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807"/>
    <w:rsid w:val="00F02B8C"/>
    <w:rsid w:val="00F03672"/>
    <w:rsid w:val="00F03ADA"/>
    <w:rsid w:val="00F043B7"/>
    <w:rsid w:val="00F0461B"/>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54"/>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0FC2"/>
    <w:rsid w:val="00F411DF"/>
    <w:rsid w:val="00F41755"/>
    <w:rsid w:val="00F41D2E"/>
    <w:rsid w:val="00F42325"/>
    <w:rsid w:val="00F4237E"/>
    <w:rsid w:val="00F425C6"/>
    <w:rsid w:val="00F42CF3"/>
    <w:rsid w:val="00F4325C"/>
    <w:rsid w:val="00F434D1"/>
    <w:rsid w:val="00F43E1C"/>
    <w:rsid w:val="00F43EAD"/>
    <w:rsid w:val="00F44134"/>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535C"/>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397"/>
    <w:rsid w:val="00F75809"/>
    <w:rsid w:val="00F75D35"/>
    <w:rsid w:val="00F75E09"/>
    <w:rsid w:val="00F75E1C"/>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43A4"/>
    <w:rsid w:val="00F94425"/>
    <w:rsid w:val="00F95793"/>
    <w:rsid w:val="00F95A25"/>
    <w:rsid w:val="00F95B78"/>
    <w:rsid w:val="00F95BC2"/>
    <w:rsid w:val="00F95C18"/>
    <w:rsid w:val="00F96628"/>
    <w:rsid w:val="00F96BC4"/>
    <w:rsid w:val="00F96CBA"/>
    <w:rsid w:val="00F97CFA"/>
    <w:rsid w:val="00FA0226"/>
    <w:rsid w:val="00FA0610"/>
    <w:rsid w:val="00FA078A"/>
    <w:rsid w:val="00FA07DB"/>
    <w:rsid w:val="00FA09C6"/>
    <w:rsid w:val="00FA145E"/>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08"/>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4F5"/>
    <w:rsid w:val="00FD057D"/>
    <w:rsid w:val="00FD1442"/>
    <w:rsid w:val="00FD2093"/>
    <w:rsid w:val="00FD21B1"/>
    <w:rsid w:val="00FD27D2"/>
    <w:rsid w:val="00FD2D3F"/>
    <w:rsid w:val="00FD2E52"/>
    <w:rsid w:val="00FD33CF"/>
    <w:rsid w:val="00FD3B47"/>
    <w:rsid w:val="00FD3F6A"/>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04B"/>
    <w:rsid w:val="00FF75B5"/>
    <w:rsid w:val="029826BE"/>
    <w:rsid w:val="277F0EF9"/>
    <w:rsid w:val="759E04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uiPriority w:val="99"/>
    <w:rPr>
      <w:rFonts w:ascii="Times New Roman" w:hAnsi="Times New Roman" w:eastAsia="宋体" w:cs="Times New Roman"/>
      <w:kern w:val="0"/>
      <w:sz w:val="18"/>
      <w:szCs w:val="18"/>
      <w:lang w:val="en-GB"/>
    </w:rPr>
  </w:style>
  <w:style w:type="character" w:customStyle="1" w:styleId="41">
    <w:name w:val="Balloon Text Char"/>
    <w:link w:val="18"/>
    <w:semiHidden/>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uiPriority w:val="0"/>
    <w:rPr>
      <w:rFonts w:ascii="Times New Roman" w:hAnsi="Times New Roman"/>
      <w:sz w:val="22"/>
      <w:lang w:val="en-GB"/>
    </w:rPr>
  </w:style>
  <w:style w:type="paragraph" w:customStyle="1" w:styleId="75">
    <w:name w:val="B4"/>
    <w:basedOn w:val="1"/>
    <w:link w:val="76"/>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uiPriority w:val="0"/>
    <w:rPr>
      <w:rFonts w:ascii="Arial" w:hAnsi="Arial" w:eastAsia="Malgun Gothic"/>
      <w:b/>
      <w:lang w:val="en-GB" w:eastAsia="en-US"/>
    </w:rPr>
  </w:style>
  <w:style w:type="paragraph" w:customStyle="1" w:styleId="8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uiPriority w:val="0"/>
    <w:pPr>
      <w:overflowPunct w:val="0"/>
      <w:autoSpaceDE w:val="0"/>
      <w:autoSpaceDN w:val="0"/>
      <w:adjustRightInd w:val="0"/>
      <w:textAlignment w:val="baseline"/>
    </w:pPr>
    <w:rPr>
      <w:rFonts w:eastAsia="Times New Roman"/>
      <w:lang w:eastAsia="ja-JP"/>
    </w:rPr>
  </w:style>
  <w:style w:type="character" w:customStyle="1" w:styleId="97">
    <w:name w:val="TF Zchn"/>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1"/>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 w:type="character" w:customStyle="1" w:styleId="101">
    <w:name w:val="NO Zchn"/>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26C67D-1C71-413D-80E3-B7773E2A6E6A}">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7</Pages>
  <Words>1552</Words>
  <Characters>8850</Characters>
  <Lines>73</Lines>
  <Paragraphs>20</Paragraphs>
  <TotalTime>2291</TotalTime>
  <ScaleCrop>false</ScaleCrop>
  <LinksUpToDate>false</LinksUpToDate>
  <CharactersWithSpaces>10382</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2020-08-07T04:58:09Z</dcterms:modified>
  <cp:revision>5936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